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27B" w:rsidRPr="00684D23" w:rsidRDefault="00662662">
      <w:pPr>
        <w:pStyle w:val="Heading1"/>
        <w:spacing w:after="18"/>
        <w:ind w:left="10" w:right="3"/>
        <w:rPr>
          <w:b/>
          <w:i/>
          <w:sz w:val="28"/>
          <w:szCs w:val="28"/>
        </w:rPr>
      </w:pPr>
      <w:r w:rsidRPr="00684D23">
        <w:rPr>
          <w:b/>
          <w:i/>
          <w:sz w:val="28"/>
          <w:szCs w:val="28"/>
          <w:u w:val="none"/>
        </w:rPr>
        <w:t>NOTĂ DE INFORMAȚII A SERVICIILOR COMISIEI</w:t>
      </w:r>
    </w:p>
    <w:p w:rsidR="00684D23" w:rsidRDefault="00662662" w:rsidP="00684D23">
      <w:pPr>
        <w:spacing w:after="18" w:line="259" w:lineRule="auto"/>
        <w:ind w:left="-5"/>
        <w:jc w:val="center"/>
        <w:rPr>
          <w:i/>
        </w:rPr>
      </w:pPr>
      <w:r w:rsidRPr="00684D23">
        <w:rPr>
          <w:i/>
        </w:rPr>
        <w:t>în legătură cu anumite listări în temeiul Deciziei 2013/184/PESC a Consiliului și al Regulamentului Consiliului</w:t>
      </w:r>
      <w:r w:rsidR="00684D23">
        <w:rPr>
          <w:i/>
        </w:rPr>
        <w:t xml:space="preserve"> </w:t>
      </w:r>
      <w:r w:rsidRPr="00684D23">
        <w:rPr>
          <w:i/>
        </w:rPr>
        <w:t>(UE) nr. 401/2013</w:t>
      </w:r>
      <w:r w:rsidR="00684D23">
        <w:rPr>
          <w:i/>
        </w:rPr>
        <w:t xml:space="preserve"> </w:t>
      </w:r>
      <w:r w:rsidRPr="00684D23">
        <w:rPr>
          <w:i/>
        </w:rPr>
        <w:t xml:space="preserve"> din 2 mai 2013 </w:t>
      </w:r>
    </w:p>
    <w:p w:rsidR="00C9027B" w:rsidRPr="00684D23" w:rsidRDefault="00662662" w:rsidP="00684D23">
      <w:pPr>
        <w:spacing w:after="18" w:line="259" w:lineRule="auto"/>
        <w:ind w:left="-5"/>
        <w:jc w:val="center"/>
        <w:rPr>
          <w:i/>
        </w:rPr>
      </w:pPr>
      <w:r w:rsidRPr="00684D23">
        <w:rPr>
          <w:i/>
        </w:rPr>
        <w:t>privind măsuri restrictive în ceea ce privește Myanmar/Birmania</w:t>
      </w:r>
    </w:p>
    <w:p w:rsidR="00C9027B" w:rsidRDefault="00662662">
      <w:pPr>
        <w:spacing w:after="0" w:line="259" w:lineRule="auto"/>
        <w:ind w:left="0" w:firstLine="0"/>
        <w:jc w:val="left"/>
      </w:pPr>
      <w:r>
        <w:t xml:space="preserve"> </w:t>
      </w:r>
    </w:p>
    <w:p w:rsidR="00C9027B" w:rsidRDefault="00662662">
      <w:pPr>
        <w:spacing w:after="43" w:line="259" w:lineRule="auto"/>
        <w:ind w:left="0" w:firstLine="0"/>
        <w:jc w:val="left"/>
      </w:pPr>
      <w:r>
        <w:rPr>
          <w:color w:val="333333"/>
          <w:sz w:val="22"/>
        </w:rPr>
        <w:t xml:space="preserve"> </w:t>
      </w:r>
    </w:p>
    <w:p w:rsidR="00C9027B" w:rsidRPr="00F9606B" w:rsidRDefault="00662662">
      <w:pPr>
        <w:numPr>
          <w:ilvl w:val="0"/>
          <w:numId w:val="1"/>
        </w:numPr>
        <w:spacing w:after="1" w:line="259" w:lineRule="auto"/>
        <w:ind w:hanging="360"/>
        <w:jc w:val="left"/>
        <w:rPr>
          <w:b/>
        </w:rPr>
      </w:pPr>
      <w:r w:rsidRPr="00F9606B">
        <w:rPr>
          <w:b/>
          <w:color w:val="333333"/>
        </w:rPr>
        <w:t>Obiectivele și valoarea acestei note</w:t>
      </w:r>
    </w:p>
    <w:p w:rsidR="00C9027B" w:rsidRDefault="00662662">
      <w:pPr>
        <w:spacing w:after="34" w:line="259" w:lineRule="auto"/>
        <w:ind w:left="0" w:firstLine="0"/>
        <w:jc w:val="left"/>
      </w:pPr>
      <w:r>
        <w:rPr>
          <w:color w:val="333333"/>
          <w:sz w:val="22"/>
        </w:rPr>
        <w:t xml:space="preserve"> </w:t>
      </w:r>
    </w:p>
    <w:p w:rsidR="00C9027B" w:rsidRDefault="00662662">
      <w:pPr>
        <w:ind w:left="-5" w:right="-8"/>
      </w:pPr>
      <w:r>
        <w:t xml:space="preserve">Comisia, în rolul său de gardian al tratatelor UE, monitorizează punerea în aplicare a dreptului Uniunii de către statele membre, sub controlul Curții de Justiție a Uniunii Europene. Scopul acestui document este de a furniza informații cu privire la consecințele includerii pe listă a anumitor entități menționate în anexa I desemnate în cadrul regimurilor de sancțiuni ale UE, având în vedere situația din Myanmar, în special importul în UE de produse specifice </w:t>
      </w:r>
      <w:r w:rsidR="00684D23">
        <w:t>fabricate</w:t>
      </w:r>
      <w:r>
        <w:t xml:space="preserve"> și comercializate de aceste întreprinderi de stat. Acest </w:t>
      </w:r>
      <w:r w:rsidR="00684D23">
        <w:t>document</w:t>
      </w:r>
      <w:r>
        <w:t xml:space="preserve"> a fost </w:t>
      </w:r>
      <w:r w:rsidR="00684D23">
        <w:t>elaborat</w:t>
      </w:r>
      <w:r>
        <w:t xml:space="preserve">t pe baza informațiilor disponibile în </w:t>
      </w:r>
      <w:r w:rsidR="00684D23">
        <w:t>dosarele</w:t>
      </w:r>
      <w:r>
        <w:t xml:space="preserve"> de </w:t>
      </w:r>
      <w:r w:rsidR="00684D23">
        <w:t>evidenta</w:t>
      </w:r>
      <w:r>
        <w:t xml:space="preserve"> ale entităților respective și a informațiilor </w:t>
      </w:r>
      <w:r w:rsidR="00684D23">
        <w:t>din surse deschise</w:t>
      </w:r>
      <w:r>
        <w:t xml:space="preserve">. Acesta urmărește să sprijine statele membre în aplicarea măsurilor relevante și, prin urmare, să se asigure că sancțiunile UE sunt aplicate în mod consecvent pe întreg teritoriul Uniunii. </w:t>
      </w:r>
      <w:r w:rsidR="00684D23">
        <w:t>In acest scop,</w:t>
      </w:r>
      <w:r w:rsidR="003E1987">
        <w:t xml:space="preserve"> documentul</w:t>
      </w:r>
      <w:r w:rsidR="00684D23">
        <w:t xml:space="preserve"> reaminteste</w:t>
      </w:r>
      <w:r>
        <w:t xml:space="preserve"> motivele desemnării și furniz</w:t>
      </w:r>
      <w:r w:rsidR="00684D23">
        <w:t>eaza</w:t>
      </w:r>
      <w:r>
        <w:t xml:space="preserve"> coduri NC orientative relevante pentru autoritățile naționale competente ale statelor membre </w:t>
      </w:r>
      <w:r w:rsidR="00684D23">
        <w:t>responsabil</w:t>
      </w:r>
      <w:r>
        <w:t xml:space="preserve">e </w:t>
      </w:r>
      <w:r w:rsidR="00684D23">
        <w:t>de</w:t>
      </w:r>
      <w:r>
        <w:t xml:space="preserve"> punerea în aplicare a sancțiunilor.</w:t>
      </w:r>
      <w:r>
        <w:rPr>
          <w:color w:val="333333"/>
          <w:sz w:val="22"/>
        </w:rPr>
        <w:t xml:space="preserve"> </w:t>
      </w:r>
    </w:p>
    <w:p w:rsidR="00C9027B" w:rsidRDefault="00662662">
      <w:pPr>
        <w:spacing w:after="43" w:line="259" w:lineRule="auto"/>
        <w:ind w:left="0" w:firstLine="0"/>
        <w:jc w:val="left"/>
      </w:pPr>
      <w:r>
        <w:rPr>
          <w:color w:val="333333"/>
          <w:sz w:val="22"/>
        </w:rPr>
        <w:t xml:space="preserve"> </w:t>
      </w:r>
    </w:p>
    <w:p w:rsidR="00C9027B" w:rsidRPr="00F9606B" w:rsidRDefault="00662662">
      <w:pPr>
        <w:numPr>
          <w:ilvl w:val="0"/>
          <w:numId w:val="1"/>
        </w:numPr>
        <w:spacing w:after="1" w:line="259" w:lineRule="auto"/>
        <w:ind w:hanging="360"/>
        <w:jc w:val="left"/>
        <w:rPr>
          <w:b/>
        </w:rPr>
      </w:pPr>
      <w:r w:rsidRPr="00F9606B">
        <w:rPr>
          <w:b/>
          <w:color w:val="333333"/>
        </w:rPr>
        <w:t>Sectoarele vizate în urma desemnărilor anumitor entități</w:t>
      </w:r>
    </w:p>
    <w:p w:rsidR="00C9027B" w:rsidRDefault="00662662">
      <w:pPr>
        <w:spacing w:after="15" w:line="259" w:lineRule="auto"/>
        <w:ind w:left="0" w:firstLine="0"/>
        <w:jc w:val="left"/>
      </w:pPr>
      <w:r>
        <w:rPr>
          <w:color w:val="333333"/>
          <w:sz w:val="22"/>
        </w:rPr>
        <w:t xml:space="preserve"> </w:t>
      </w:r>
    </w:p>
    <w:p w:rsidR="00C9027B" w:rsidRPr="00F9606B" w:rsidRDefault="00662662">
      <w:pPr>
        <w:pStyle w:val="Heading2"/>
        <w:rPr>
          <w:b/>
        </w:rPr>
      </w:pPr>
      <w:r w:rsidRPr="00F9606B">
        <w:rPr>
          <w:b/>
        </w:rPr>
        <w:t>CHERESTEA</w:t>
      </w:r>
    </w:p>
    <w:p w:rsidR="00C9027B" w:rsidRDefault="00662662">
      <w:pPr>
        <w:spacing w:after="17" w:line="259" w:lineRule="auto"/>
        <w:ind w:left="0" w:firstLine="0"/>
        <w:jc w:val="left"/>
      </w:pPr>
      <w:r>
        <w:t xml:space="preserve"> </w:t>
      </w:r>
    </w:p>
    <w:p w:rsidR="00C9027B" w:rsidRDefault="00662662">
      <w:pPr>
        <w:ind w:left="-5" w:right="-8"/>
      </w:pPr>
      <w:r>
        <w:t xml:space="preserve">Myanmar Timber Enterprise („MTE”) este o întreprindere de stat care operează sub controlul Ministerului Resurselor Naturale și Conservarii Mediului. Este responsabilă de recoltarea, </w:t>
      </w:r>
      <w:r w:rsidR="00F9606B">
        <w:t xml:space="preserve">taierea, </w:t>
      </w:r>
      <w:r>
        <w:t>prelucrarea cu cherestea, prelucrarea în aval și comercializarea lemnului. MTE este</w:t>
      </w:r>
      <w:r w:rsidR="00F9606B">
        <w:t xml:space="preserve"> singura</w:t>
      </w:r>
      <w:r>
        <w:t xml:space="preserve"> întreprindere</w:t>
      </w:r>
      <w:r w:rsidR="00F9606B">
        <w:t xml:space="preserve"> </w:t>
      </w:r>
      <w:r>
        <w:t xml:space="preserve">de stat care </w:t>
      </w:r>
      <w:r w:rsidR="00F9606B">
        <w:t>activ</w:t>
      </w:r>
      <w:r>
        <w:t>ează în sectorul forestier din Myanmar și are drepturi exclusive asupra producției, vânzării și exportului de lemn în țară (monopol). Forest Products Joint Venture Corporation (FPJVC) este o filială a MTE, care a fost</w:t>
      </w:r>
      <w:r w:rsidR="00F9606B">
        <w:t>, de asemenea,</w:t>
      </w:r>
      <w:r>
        <w:t xml:space="preserve"> listată la 21 iunie 2021. FPJVC </w:t>
      </w:r>
      <w:r w:rsidR="00F9606B">
        <w:t>isi desfasoara activitatea</w:t>
      </w:r>
      <w:r>
        <w:t xml:space="preserve"> în industria lemnului din Myanmar, prelucrând lemn de tec și lemn de esență tare.</w:t>
      </w:r>
    </w:p>
    <w:p w:rsidR="00C9027B" w:rsidRDefault="00662662">
      <w:pPr>
        <w:spacing w:after="17" w:line="259" w:lineRule="auto"/>
        <w:ind w:left="0" w:firstLine="0"/>
        <w:jc w:val="left"/>
      </w:pPr>
      <w:r>
        <w:t xml:space="preserve"> </w:t>
      </w:r>
    </w:p>
    <w:p w:rsidR="00C9027B" w:rsidRDefault="00662662">
      <w:pPr>
        <w:ind w:left="-5" w:right="-8"/>
      </w:pPr>
      <w:r>
        <w:t xml:space="preserve">În consecință, MTE generează venituri pentru statul Myanmar prin vânzarea de cherestea, exploatând un sistem de licitații cu ofertanți locali și străini, în special pentru lemnul de tec </w:t>
      </w:r>
      <w:r w:rsidR="00F9606B">
        <w:t>care este foarte solicitat</w:t>
      </w:r>
      <w:r>
        <w:t xml:space="preserve"> pentru sectorul de yachting de lux. FPJVC sprijină aceste vânzări și generează venituri din activitățile sale de procesare.</w:t>
      </w:r>
    </w:p>
    <w:p w:rsidR="00C9027B" w:rsidRDefault="00662662">
      <w:pPr>
        <w:spacing w:after="31" w:line="259" w:lineRule="auto"/>
        <w:ind w:left="0" w:firstLine="0"/>
        <w:jc w:val="left"/>
      </w:pPr>
      <w:r>
        <w:rPr>
          <w:color w:val="333333"/>
          <w:sz w:val="22"/>
        </w:rPr>
        <w:t xml:space="preserve"> </w:t>
      </w:r>
    </w:p>
    <w:p w:rsidR="00C9027B" w:rsidRDefault="00662662">
      <w:pPr>
        <w:spacing w:after="34"/>
        <w:ind w:left="-5" w:right="-8"/>
      </w:pPr>
      <w:r>
        <w:t xml:space="preserve">În plus, întrucât, conform legislației din Myanmar, tot lemnul </w:t>
      </w:r>
      <w:r w:rsidR="00F9606B">
        <w:t>destin</w:t>
      </w:r>
      <w:r w:rsidR="003E1987">
        <w:t>a</w:t>
      </w:r>
      <w:r w:rsidR="00F9606B">
        <w:t>t</w:t>
      </w:r>
      <w:r>
        <w:t xml:space="preserve"> export</w:t>
      </w:r>
      <w:r w:rsidR="00F9606B">
        <w:t>ului</w:t>
      </w:r>
      <w:r>
        <w:t xml:space="preserve"> trebuie vândut de la depozitele de cherestea MTE, iar tranzacțiile economice cu MTE fac obiectul sancțiunilor, </w:t>
      </w:r>
      <w:r>
        <w:lastRenderedPageBreak/>
        <w:t xml:space="preserve">tot lemnul exportat din Myanmar către UE va fi considerat ilegal conform Regulamentului UE privind lemnul. </w:t>
      </w:r>
      <w:r>
        <w:rPr>
          <w:vertAlign w:val="superscript"/>
        </w:rPr>
        <w:footnoteReference w:id="1"/>
      </w:r>
      <w:r>
        <w:t>.</w:t>
      </w:r>
    </w:p>
    <w:p w:rsidR="00C9027B" w:rsidRDefault="00662662">
      <w:pPr>
        <w:spacing w:after="0" w:line="259" w:lineRule="auto"/>
        <w:ind w:left="0" w:firstLine="0"/>
        <w:jc w:val="left"/>
      </w:pPr>
      <w:r>
        <w:rPr>
          <w:rFonts w:ascii="Calibri" w:eastAsia="Calibri" w:hAnsi="Calibri" w:cs="Calibri"/>
          <w:noProof/>
          <w:sz w:val="22"/>
          <w:lang w:val="en-US"/>
        </w:rPr>
        <mc:AlternateContent>
          <mc:Choice Requires="wpg">
            <w:drawing>
              <wp:inline distT="0" distB="0" distL="0" distR="0">
                <wp:extent cx="1828800" cy="7621"/>
                <wp:effectExtent l="0" t="0" r="0" b="0"/>
                <wp:docPr id="2911" name="Group 2911"/>
                <wp:cNvGraphicFramePr/>
                <a:graphic xmlns:a="http://schemas.openxmlformats.org/drawingml/2006/main">
                  <a:graphicData uri="http://schemas.microsoft.com/office/word/2010/wordprocessingGroup">
                    <wpg:wgp>
                      <wpg:cNvGrpSpPr/>
                      <wpg:grpSpPr>
                        <a:xfrm>
                          <a:off x="0" y="0"/>
                          <a:ext cx="1828800" cy="7621"/>
                          <a:chOff x="0" y="0"/>
                          <a:chExt cx="1828800" cy="7621"/>
                        </a:xfrm>
                      </wpg:grpSpPr>
                      <wps:wsp>
                        <wps:cNvPr id="3902" name="Shape 3902"/>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11" style="width:144pt;height:0.600098pt;mso-position-horizontal-relative:char;mso-position-vertical-relative:line" coordsize="18288,76">
                <v:shape id="Shape 3903"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rsidR="00C9027B" w:rsidRDefault="00662662">
      <w:pPr>
        <w:spacing w:after="15" w:line="259" w:lineRule="auto"/>
        <w:ind w:left="0" w:firstLine="0"/>
        <w:jc w:val="left"/>
      </w:pPr>
      <w:r>
        <w:rPr>
          <w:color w:val="333333"/>
          <w:sz w:val="22"/>
        </w:rPr>
        <w:t xml:space="preserve"> </w:t>
      </w:r>
    </w:p>
    <w:p w:rsidR="00C9027B" w:rsidRDefault="00662662">
      <w:pPr>
        <w:pStyle w:val="Heading3"/>
        <w:spacing w:after="31"/>
        <w:ind w:left="-5"/>
      </w:pPr>
      <w:r>
        <w:t>MINERIT</w:t>
      </w:r>
    </w:p>
    <w:p w:rsidR="00C9027B" w:rsidRDefault="00662662">
      <w:pPr>
        <w:spacing w:after="19" w:line="259" w:lineRule="auto"/>
        <w:ind w:left="0" w:firstLine="0"/>
        <w:jc w:val="left"/>
      </w:pPr>
      <w:r>
        <w:t xml:space="preserve"> </w:t>
      </w:r>
    </w:p>
    <w:p w:rsidR="00C9027B" w:rsidRDefault="00662662">
      <w:pPr>
        <w:ind w:left="-5" w:right="-8"/>
      </w:pPr>
      <w:r>
        <w:t xml:space="preserve">Statul Myanmar are dreptul exclusiv de a exporta minerale, </w:t>
      </w:r>
      <w:r w:rsidR="00F9606B">
        <w:t>ceea ce reprezinta, de asemenea, un</w:t>
      </w:r>
      <w:r>
        <w:t xml:space="preserve"> monopol. Intervenția statului în sectorul minier se realizează în primul rând prin </w:t>
      </w:r>
      <w:r w:rsidR="00F9606B">
        <w:t xml:space="preserve">intermediul </w:t>
      </w:r>
      <w:r>
        <w:t>Întreprinder</w:t>
      </w:r>
      <w:r w:rsidR="00F9606B">
        <w:t>ii</w:t>
      </w:r>
      <w:r>
        <w:t xml:space="preserve"> minier</w:t>
      </w:r>
      <w:r w:rsidR="00F9606B">
        <w:t>e</w:t>
      </w:r>
      <w:r>
        <w:t xml:space="preserve"> nr. 1 („ME1”) și Întreprinder</w:t>
      </w:r>
      <w:r w:rsidR="00F9606B">
        <w:t>ii</w:t>
      </w:r>
      <w:r>
        <w:t xml:space="preserve"> minier</w:t>
      </w:r>
      <w:r w:rsidR="00F9606B">
        <w:t>e</w:t>
      </w:r>
      <w:r>
        <w:t xml:space="preserve"> nr. 2 („ME2”). Aceste două întreprinderi de stat operează sub controlul Ministerului Resurselor Naturale și Mediului, în numele statului Myanmar.</w:t>
      </w:r>
    </w:p>
    <w:p w:rsidR="00C9027B" w:rsidRDefault="00662662">
      <w:pPr>
        <w:spacing w:after="17" w:line="259" w:lineRule="auto"/>
        <w:ind w:left="0" w:firstLine="0"/>
        <w:jc w:val="left"/>
      </w:pPr>
      <w:r>
        <w:t xml:space="preserve"> </w:t>
      </w:r>
    </w:p>
    <w:p w:rsidR="00C9027B" w:rsidRDefault="00662662">
      <w:pPr>
        <w:ind w:left="-5" w:right="-8"/>
      </w:pPr>
      <w:r>
        <w:t xml:space="preserve">Proiectele miniere sunt de obicei realizate de companii private (locale și străine) pe baza acordurilor de împărțire a producției sau de împărțire a profitului, sau a </w:t>
      </w:r>
      <w:r w:rsidR="00F9606B">
        <w:t>unor societati</w:t>
      </w:r>
      <w:r>
        <w:t xml:space="preserve"> mixte cu ME1 sau ME2. Cererea de acordare a unui permis minier este condiționată de semnarea </w:t>
      </w:r>
      <w:r w:rsidR="00F9606B">
        <w:t>un</w:t>
      </w:r>
      <w:r>
        <w:t>ui astfel de acord.</w:t>
      </w:r>
    </w:p>
    <w:p w:rsidR="00C9027B" w:rsidRDefault="00662662">
      <w:pPr>
        <w:spacing w:after="17" w:line="259" w:lineRule="auto"/>
        <w:ind w:left="0" w:firstLine="0"/>
        <w:jc w:val="left"/>
      </w:pPr>
      <w:r>
        <w:t xml:space="preserve"> </w:t>
      </w:r>
    </w:p>
    <w:p w:rsidR="00C9027B" w:rsidRDefault="00662662">
      <w:pPr>
        <w:ind w:left="-5" w:right="-8"/>
      </w:pPr>
      <w:r>
        <w:t xml:space="preserve">În consecință, ME1 și ME2 primesc venituri din vânzarea cotei de producție a statului, </w:t>
      </w:r>
      <w:r w:rsidR="00A609C5">
        <w:t xml:space="preserve">din </w:t>
      </w:r>
      <w:r>
        <w:t>diviz</w:t>
      </w:r>
      <w:r w:rsidR="00A609C5">
        <w:t>iunea</w:t>
      </w:r>
      <w:r>
        <w:t xml:space="preserve"> produselor de la companiile min</w:t>
      </w:r>
      <w:r w:rsidR="00A609C5">
        <w:t>i</w:t>
      </w:r>
      <w:r>
        <w:t>ere (plată în numerar) și</w:t>
      </w:r>
      <w:r w:rsidR="00A609C5">
        <w:t xml:space="preserve"> din</w:t>
      </w:r>
      <w:r>
        <w:t xml:space="preserve"> taxe</w:t>
      </w:r>
      <w:r w:rsidR="00A609C5">
        <w:t>le</w:t>
      </w:r>
      <w:r>
        <w:t xml:space="preserve"> de aplicare. ME1 și ME2 ar fi, de asemenea, responsabile </w:t>
      </w:r>
      <w:r w:rsidR="00A609C5">
        <w:t>de</w:t>
      </w:r>
      <w:r>
        <w:t xml:space="preserve"> colect</w:t>
      </w:r>
      <w:r w:rsidR="00A609C5">
        <w:t>area unei</w:t>
      </w:r>
      <w:r>
        <w:t xml:space="preserve"> part</w:t>
      </w:r>
      <w:r w:rsidR="00A609C5">
        <w:t>i</w:t>
      </w:r>
      <w:r>
        <w:t xml:space="preserve"> din impozitul pe profit</w:t>
      </w:r>
      <w:r w:rsidR="00A609C5">
        <w:t>urile</w:t>
      </w:r>
      <w:r>
        <w:t xml:space="preserve"> realizat</w:t>
      </w:r>
      <w:r w:rsidR="00A609C5">
        <w:t>e</w:t>
      </w:r>
      <w:r>
        <w:t xml:space="preserve"> în </w:t>
      </w:r>
      <w:r w:rsidR="00A609C5">
        <w:t>cadr</w:t>
      </w:r>
      <w:r>
        <w:t xml:space="preserve">ul acordului. În plus, </w:t>
      </w:r>
      <w:r w:rsidR="00A609C5">
        <w:t>titula</w:t>
      </w:r>
      <w:r>
        <w:t>rul unui permis de producție min</w:t>
      </w:r>
      <w:r w:rsidR="00A609C5">
        <w:t>i</w:t>
      </w:r>
      <w:r>
        <w:t>er</w:t>
      </w:r>
      <w:r w:rsidR="00A609C5">
        <w:t>a</w:t>
      </w:r>
      <w:r>
        <w:t xml:space="preserve"> trebuie să p</w:t>
      </w:r>
      <w:r w:rsidR="00A609C5">
        <w:t xml:space="preserve">lătească redevențe către stat </w:t>
      </w:r>
      <w:r>
        <w:t>prin</w:t>
      </w:r>
      <w:r w:rsidR="00A609C5">
        <w:t xml:space="preserve"> intermediul </w:t>
      </w:r>
      <w:r>
        <w:t>ME1 și ME2.</w:t>
      </w:r>
    </w:p>
    <w:p w:rsidR="00C9027B" w:rsidRDefault="00662662">
      <w:pPr>
        <w:spacing w:after="0" w:line="259" w:lineRule="auto"/>
        <w:ind w:left="0" w:firstLine="0"/>
        <w:jc w:val="left"/>
      </w:pPr>
      <w:r>
        <w:t xml:space="preserve"> </w:t>
      </w:r>
    </w:p>
    <w:p w:rsidR="00C9027B" w:rsidRDefault="00662662">
      <w:pPr>
        <w:pStyle w:val="Heading3"/>
        <w:ind w:left="-5"/>
      </w:pPr>
      <w:r>
        <w:t>G</w:t>
      </w:r>
      <w:r w:rsidR="00A609C5">
        <w:t>G</w:t>
      </w:r>
      <w:r>
        <w:t>ME</w:t>
      </w:r>
    </w:p>
    <w:p w:rsidR="00C9027B" w:rsidRDefault="00662662">
      <w:pPr>
        <w:spacing w:after="41" w:line="259" w:lineRule="auto"/>
        <w:ind w:left="0" w:firstLine="0"/>
        <w:jc w:val="left"/>
      </w:pPr>
      <w:r>
        <w:rPr>
          <w:color w:val="333333"/>
          <w:sz w:val="21"/>
        </w:rPr>
        <w:t xml:space="preserve"> </w:t>
      </w:r>
    </w:p>
    <w:p w:rsidR="00C9027B" w:rsidRDefault="00662662">
      <w:pPr>
        <w:ind w:left="-5" w:right="-8"/>
      </w:pPr>
      <w:r>
        <w:t xml:space="preserve">Intervenția statului în sectorul pietrelor prețioase </w:t>
      </w:r>
      <w:r w:rsidR="00A609C5">
        <w:t>este realizata</w:t>
      </w:r>
      <w:r>
        <w:t xml:space="preserve"> în pri</w:t>
      </w:r>
      <w:r w:rsidR="00A609C5">
        <w:t>ncipal</w:t>
      </w:r>
      <w:r>
        <w:t xml:space="preserve"> prin </w:t>
      </w:r>
      <w:r w:rsidR="00A609C5">
        <w:t xml:space="preserve">intermediul </w:t>
      </w:r>
      <w:r>
        <w:t>Myanmar Gems Enterprise („MGE”). MGE este o întreprindere de stat care operează în sectorul pietrelor prețioase sub controlul Ministerului Resurselor Naturale și Conservarii Mediulu</w:t>
      </w:r>
      <w:r w:rsidR="003E1987">
        <w:t>i, în numele statului Myanmar. Aceasta s</w:t>
      </w:r>
      <w:r>
        <w:t xml:space="preserve">upraveghează și acordă permise pentru producerea de pietre prețioase, participă la toate întreprinderile mixte pentru producția lor în numele statului și organizează vânzări speciale. Asociațiile în comun cu MGE sunt obligate prin lege să comercializeze producția din Myanmar în timpul acestor </w:t>
      </w:r>
      <w:r w:rsidR="00134905">
        <w:t>vanzar</w:t>
      </w:r>
      <w:r>
        <w:t>i de jad și pietre prețioase.</w:t>
      </w:r>
    </w:p>
    <w:p w:rsidR="00C9027B" w:rsidRDefault="00662662">
      <w:pPr>
        <w:spacing w:after="17" w:line="259" w:lineRule="auto"/>
        <w:ind w:left="0" w:firstLine="0"/>
        <w:jc w:val="left"/>
      </w:pPr>
      <w:r>
        <w:t xml:space="preserve"> </w:t>
      </w:r>
    </w:p>
    <w:p w:rsidR="00C9027B" w:rsidRDefault="00662662">
      <w:pPr>
        <w:ind w:left="-5" w:right="-8"/>
      </w:pPr>
      <w:r>
        <w:t xml:space="preserve">În consecință, MGE primește venituri din vânzarea cotei de producție a statului (producție împărțită în natură), divizarea produselor de la companiile minerale (plată în numerar), taxe de aplicare, precum și </w:t>
      </w:r>
      <w:r w:rsidR="00A609C5">
        <w:t xml:space="preserve">din </w:t>
      </w:r>
      <w:r>
        <w:t>alte taxe de servicii. În plus, companiile își raportează produsul cu pietre prețioase către MGE care colectează plățile de redevențe.</w:t>
      </w:r>
      <w:bookmarkStart w:id="0" w:name="_GoBack"/>
      <w:bookmarkEnd w:id="0"/>
    </w:p>
    <w:p w:rsidR="00C9027B" w:rsidRDefault="00662662">
      <w:pPr>
        <w:spacing w:after="29" w:line="259" w:lineRule="auto"/>
        <w:ind w:left="0" w:firstLine="0"/>
        <w:jc w:val="left"/>
      </w:pPr>
      <w:r>
        <w:t xml:space="preserve"> </w:t>
      </w:r>
    </w:p>
    <w:p w:rsidR="00C9027B" w:rsidRPr="00A609C5" w:rsidRDefault="00662662">
      <w:pPr>
        <w:spacing w:after="0"/>
        <w:ind w:left="720" w:hanging="360"/>
        <w:jc w:val="left"/>
        <w:rPr>
          <w:b/>
        </w:rPr>
      </w:pPr>
      <w:r w:rsidRPr="00A609C5">
        <w:rPr>
          <w:b/>
        </w:rPr>
        <w:lastRenderedPageBreak/>
        <w:t>3. Consecințele desemnării pentru autoritățile competente și operatorii UE: înghețarea activelor și inter</w:t>
      </w:r>
      <w:r w:rsidR="00A609C5">
        <w:rPr>
          <w:b/>
        </w:rPr>
        <w:t>dictia de a</w:t>
      </w:r>
      <w:r w:rsidRPr="00A609C5">
        <w:rPr>
          <w:b/>
        </w:rPr>
        <w:t xml:space="preserve"> pune la dispoziție resurse economice</w:t>
      </w:r>
    </w:p>
    <w:p w:rsidR="00C9027B" w:rsidRDefault="00662662">
      <w:pPr>
        <w:spacing w:after="17" w:line="259" w:lineRule="auto"/>
        <w:ind w:left="0" w:firstLine="0"/>
        <w:jc w:val="left"/>
      </w:pPr>
      <w:r>
        <w:t xml:space="preserve"> </w:t>
      </w:r>
    </w:p>
    <w:p w:rsidR="00C9027B" w:rsidRDefault="00662662">
      <w:pPr>
        <w:ind w:left="-5" w:right="-8"/>
      </w:pPr>
      <w:r>
        <w:t>Ca urmare a desemnării lor de către UE, entitățile MTE, ME1, ME2 și MGE fac obiectul sancțiunilor financiare care constau în înghețarea activelor și interzicerea de a pune la dispoziție fonduri și resurse economice. Rezultă că există o obligație pentru operatorii UE de a se asigura că nu pun la dispoziție fonduri sau resurse economice, direct sau indirect acestor entități (articolul 4a Regulamentul Consiliului 401/2013).</w:t>
      </w:r>
    </w:p>
    <w:p w:rsidR="00C9027B" w:rsidRDefault="00662662">
      <w:pPr>
        <w:spacing w:after="17" w:line="259" w:lineRule="auto"/>
        <w:ind w:left="0" w:firstLine="0"/>
        <w:jc w:val="left"/>
      </w:pPr>
      <w:r>
        <w:t xml:space="preserve"> </w:t>
      </w:r>
    </w:p>
    <w:p w:rsidR="00C9027B" w:rsidRDefault="00662662">
      <w:pPr>
        <w:ind w:left="-5" w:right="-8"/>
      </w:pPr>
      <w:r>
        <w:t xml:space="preserve">Aceste companii sunt toate întreprinderi de stat care operează ca monopoluri de stat în sectorul lemnului, minerit și, respectiv, pietre prețioase. Ca o consecință a acestei poziții monopoliste, </w:t>
      </w:r>
      <w:r w:rsidR="00F9064E">
        <w:t>acestea</w:t>
      </w:r>
      <w:r>
        <w:t xml:space="preserve"> primesc în mod necesar venituri directe și indirecte din vânzări și exporturi. În cazurile ME1, ME2 și MGE, acestea utilizează capacități operaționale private pentru producție prin diferite tipuri de acord contractual.</w:t>
      </w:r>
    </w:p>
    <w:p w:rsidR="00C9027B" w:rsidRDefault="00662662">
      <w:pPr>
        <w:spacing w:after="29" w:line="259" w:lineRule="auto"/>
        <w:ind w:left="0" w:firstLine="0"/>
        <w:jc w:val="left"/>
      </w:pPr>
      <w:r>
        <w:t xml:space="preserve"> </w:t>
      </w:r>
    </w:p>
    <w:p w:rsidR="00C9027B" w:rsidRPr="00F9064E" w:rsidRDefault="00662662">
      <w:pPr>
        <w:pBdr>
          <w:top w:val="single" w:sz="4" w:space="0" w:color="000000"/>
          <w:left w:val="single" w:sz="4" w:space="0" w:color="000000"/>
          <w:bottom w:val="single" w:sz="4" w:space="0" w:color="000000"/>
          <w:right w:val="single" w:sz="4" w:space="0" w:color="000000"/>
        </w:pBdr>
        <w:spacing w:after="9" w:line="274" w:lineRule="auto"/>
        <w:ind w:left="113" w:right="115" w:firstLine="0"/>
        <w:rPr>
          <w:b/>
        </w:rPr>
      </w:pPr>
      <w:r w:rsidRPr="00F9064E">
        <w:rPr>
          <w:b/>
        </w:rPr>
        <w:t xml:space="preserve">În consecință, și sub rezerva evaluărilor </w:t>
      </w:r>
      <w:r w:rsidR="00F9064E">
        <w:rPr>
          <w:b/>
        </w:rPr>
        <w:t xml:space="preserve">necesare </w:t>
      </w:r>
      <w:r w:rsidRPr="00F9064E">
        <w:rPr>
          <w:b/>
        </w:rPr>
        <w:t>de la caz la caz ale autorităților naționale competente, importurile în UE ale mărfurilor specificate în anexa II la acest document nu ar trebui să mai fie posibile de la data desemnării entității relevante în c</w:t>
      </w:r>
      <w:r w:rsidR="00F9064E">
        <w:rPr>
          <w:b/>
        </w:rPr>
        <w:t>adrul sanctiunilor  UE,</w:t>
      </w:r>
      <w:r w:rsidRPr="00F9064E">
        <w:rPr>
          <w:b/>
        </w:rPr>
        <w:t xml:space="preserve"> întrucât astfel de importuri ar implica în mod necesar punerea la dispoziție a fondurilor entităților enumerate.</w:t>
      </w:r>
    </w:p>
    <w:p w:rsidR="00C9027B" w:rsidRDefault="00662662">
      <w:pPr>
        <w:spacing w:after="18" w:line="259" w:lineRule="auto"/>
        <w:ind w:left="0" w:firstLine="0"/>
        <w:jc w:val="left"/>
      </w:pPr>
      <w:r>
        <w:t xml:space="preserve"> </w:t>
      </w:r>
    </w:p>
    <w:p w:rsidR="00C9027B" w:rsidRDefault="00662662">
      <w:pPr>
        <w:ind w:left="-5" w:right="-8"/>
      </w:pPr>
      <w:r w:rsidRPr="00542424">
        <w:rPr>
          <w:b/>
        </w:rPr>
        <w:t>Intermediari:</w:t>
      </w:r>
      <w:r>
        <w:t xml:space="preserve"> orice achiziție a acestor bunuri din Myanmar poate fi </w:t>
      </w:r>
      <w:r w:rsidR="00542424">
        <w:t>atribui</w:t>
      </w:r>
      <w:r>
        <w:t xml:space="preserve">tă înapoi la una dintre aceste entități. Operatorii UE ar trebui să </w:t>
      </w:r>
      <w:r w:rsidR="00542424">
        <w:t>acorde o atentie</w:t>
      </w:r>
      <w:r>
        <w:t xml:space="preserve"> suplimentară pentru a se asigura că orice bun</w:t>
      </w:r>
      <w:r w:rsidR="00542424">
        <w:t>uri</w:t>
      </w:r>
      <w:r>
        <w:t xml:space="preserve"> pe care le achiziționează de la un intermediar a</w:t>
      </w:r>
      <w:r w:rsidR="00542424">
        <w:t>u</w:t>
      </w:r>
      <w:r>
        <w:t xml:space="preserve"> fost cumpărat</w:t>
      </w:r>
      <w:r w:rsidR="00542424">
        <w:t>e</w:t>
      </w:r>
      <w:r>
        <w:t xml:space="preserve"> de acesta din urmă și plătit</w:t>
      </w:r>
      <w:r w:rsidR="00542424">
        <w:t>e</w:t>
      </w:r>
      <w:r>
        <w:t xml:space="preserve"> entității înainte de data desemnării. În ceea ce privește MTE, ar trebui să se acorde o atenție deosebită intermediarilor cu sediul în Thailanda, Emiratele Arabe Unite, Singapore, India și China, care prezintă un risc mai mare de a </w:t>
      </w:r>
      <w:r w:rsidR="00542424">
        <w:t>comercializ</w:t>
      </w:r>
      <w:r>
        <w:t>a cherestea din Myanmar.</w:t>
      </w:r>
    </w:p>
    <w:p w:rsidR="00C9027B" w:rsidRDefault="00662662">
      <w:pPr>
        <w:spacing w:after="17" w:line="259" w:lineRule="auto"/>
        <w:ind w:left="0" w:firstLine="0"/>
        <w:jc w:val="left"/>
      </w:pPr>
      <w:r>
        <w:t xml:space="preserve"> </w:t>
      </w:r>
    </w:p>
    <w:p w:rsidR="00C9027B" w:rsidRDefault="00662662">
      <w:pPr>
        <w:ind w:left="-5" w:right="-8"/>
      </w:pPr>
      <w:r>
        <w:t>Dacă un intermediar a achiziționat aceste produse după data desemnării lor, achiziționarea acestor bunuri de către operatorii UE prin intermediul unui terț ar echivala cu punerea indirectă la dispoziție de fonduri sau resurse economice uneia dintre aceste entități, cu încălcarea articolului 4a alineatul (2) din Regulament.</w:t>
      </w:r>
    </w:p>
    <w:p w:rsidR="00C9027B" w:rsidRDefault="00662662">
      <w:pPr>
        <w:spacing w:after="18" w:line="259" w:lineRule="auto"/>
        <w:ind w:left="0" w:firstLine="0"/>
        <w:jc w:val="left"/>
      </w:pPr>
      <w:r>
        <w:t xml:space="preserve"> </w:t>
      </w:r>
    </w:p>
    <w:p w:rsidR="00C9027B" w:rsidRDefault="00662662">
      <w:pPr>
        <w:ind w:left="-5" w:right="-8"/>
      </w:pPr>
      <w:r w:rsidRPr="00542424">
        <w:rPr>
          <w:b/>
        </w:rPr>
        <w:t>Proprietatea și controlul:</w:t>
      </w:r>
      <w:r>
        <w:t xml:space="preserve"> operatorii din UE trebuie să</w:t>
      </w:r>
      <w:r w:rsidR="00542424">
        <w:t xml:space="preserve"> fie foarte atenți atunci când se angaj</w:t>
      </w:r>
      <w:r>
        <w:t xml:space="preserve">ează cu o entitate care este deținută sau controlată de una dintre aceste entități. Deși acestea sunt vizate </w:t>
      </w:r>
      <w:r w:rsidR="00542424">
        <w:t xml:space="preserve">in mod </w:t>
      </w:r>
      <w:r>
        <w:t>direct de sancțiunile UE, dacă o entitate este deținută sau controlată de ace</w:t>
      </w:r>
      <w:r w:rsidR="00542424">
        <w:t>s</w:t>
      </w:r>
      <w:r>
        <w:t>t</w:t>
      </w:r>
      <w:r w:rsidR="00542424">
        <w:t>e</w:t>
      </w:r>
      <w:r>
        <w:t xml:space="preserve">a, operatorilor din UE le este, de asemenea, interzis să pună la dispoziție fonduri sau resurse economice acestei entități. Acest lucru ar fi considerat ca fiind </w:t>
      </w:r>
      <w:r w:rsidR="00542424">
        <w:t>o punere la dispozitie indirecta a acestora</w:t>
      </w:r>
      <w:r>
        <w:t>.</w:t>
      </w:r>
    </w:p>
    <w:p w:rsidR="00C9027B" w:rsidRDefault="00662662">
      <w:pPr>
        <w:spacing w:after="18" w:line="259" w:lineRule="auto"/>
        <w:ind w:left="0" w:firstLine="0"/>
        <w:jc w:val="left"/>
      </w:pPr>
      <w:r>
        <w:t xml:space="preserve"> </w:t>
      </w:r>
    </w:p>
    <w:p w:rsidR="00C9027B" w:rsidRDefault="00662662">
      <w:pPr>
        <w:ind w:left="-5" w:right="-8"/>
      </w:pPr>
      <w:r w:rsidRPr="00542424">
        <w:rPr>
          <w:b/>
        </w:rPr>
        <w:t>Eludare:</w:t>
      </w:r>
      <w:r>
        <w:t xml:space="preserve"> Este interzisă participarea, cu bună știință și </w:t>
      </w:r>
      <w:r w:rsidR="00542424">
        <w:t xml:space="preserve">in mod </w:t>
      </w:r>
      <w:r>
        <w:t>intenționat, la eludarea acestor sancțiuni (Articolul 4g din Regulament).</w:t>
      </w:r>
    </w:p>
    <w:p w:rsidR="00C9027B" w:rsidRDefault="00662662">
      <w:pPr>
        <w:spacing w:after="18" w:line="259" w:lineRule="auto"/>
        <w:ind w:left="720" w:firstLine="0"/>
        <w:jc w:val="left"/>
      </w:pPr>
      <w:r>
        <w:t xml:space="preserve"> </w:t>
      </w:r>
    </w:p>
    <w:p w:rsidR="00C9027B" w:rsidRDefault="00662662">
      <w:pPr>
        <w:ind w:left="-5" w:right="-8"/>
      </w:pPr>
      <w:r w:rsidRPr="00542424">
        <w:rPr>
          <w:b/>
        </w:rPr>
        <w:lastRenderedPageBreak/>
        <w:t>Data plății:</w:t>
      </w:r>
      <w:r>
        <w:t xml:space="preserve"> chiar dacă un contract a fost semnat înainte de data desemnării, orice plată ulterioară a bunurilor către entitate echivalează cu punerea la dispoziție a fondurilor acestor entități enumerate, prin urmare ar încălca articolul 4a alineatul (2) din regulament. </w:t>
      </w:r>
    </w:p>
    <w:p w:rsidR="00C9027B" w:rsidRDefault="00662662">
      <w:pPr>
        <w:spacing w:after="17" w:line="259" w:lineRule="auto"/>
        <w:ind w:left="0" w:firstLine="0"/>
        <w:jc w:val="left"/>
      </w:pPr>
      <w:r>
        <w:t xml:space="preserve"> </w:t>
      </w:r>
    </w:p>
    <w:p w:rsidR="00C9027B" w:rsidRDefault="00662662">
      <w:pPr>
        <w:ind w:left="-5" w:right="-8"/>
      </w:pPr>
      <w:r>
        <w:t>Importurile în UE pot avea loc dacă plata a fost efectuată înainte de listare. Cu toate acestea, autoritățile vamale ar trebui să efectueze o diligență amplă pentru verificarea autenticității documentelor justificative. Operatorii pot fi tentați să falsifice data plăților mărfurilor pentru a asigura importul acestora în UE. O astfel de falsificare ar constitui o eludare a sancțiunilor UE.</w:t>
      </w:r>
    </w:p>
    <w:p w:rsidR="00C9027B" w:rsidRDefault="00662662">
      <w:pPr>
        <w:spacing w:after="19" w:line="259" w:lineRule="auto"/>
        <w:ind w:left="720" w:firstLine="0"/>
        <w:jc w:val="left"/>
      </w:pPr>
      <w:r>
        <w:t xml:space="preserve"> </w:t>
      </w:r>
    </w:p>
    <w:p w:rsidR="00C9027B" w:rsidRDefault="00662662">
      <w:pPr>
        <w:ind w:left="-5" w:right="-8"/>
      </w:pPr>
      <w:r w:rsidRPr="00542424">
        <w:rPr>
          <w:b/>
        </w:rPr>
        <w:t>Plăți excepționale în contul înghețat al UE:</w:t>
      </w:r>
      <w:r>
        <w:t xml:space="preserve"> în mod excepțional, în conformitate cu articolul 4d alineatul (3), plățile datorate uneia dintre aceste entități în temeiul unui contract încheiat înainte de data desemnării acestora pot fi creditate în conturile înghețate </w:t>
      </w:r>
      <w:r w:rsidRPr="00542424">
        <w:rPr>
          <w:u w:val="single"/>
        </w:rPr>
        <w:t>din UE</w:t>
      </w:r>
      <w:r>
        <w:t xml:space="preserve"> </w:t>
      </w:r>
      <w:r>
        <w:rPr>
          <w:u w:val="single" w:color="000000"/>
        </w:rPr>
        <w:t xml:space="preserve">ale </w:t>
      </w:r>
      <w:r>
        <w:t xml:space="preserve">persoanei </w:t>
      </w:r>
      <w:r w:rsidR="00542424">
        <w:t>list</w:t>
      </w:r>
      <w:r>
        <w:t xml:space="preserve">ate, astfel încât </w:t>
      </w:r>
      <w:r w:rsidR="00542424">
        <w:t xml:space="preserve">acestea </w:t>
      </w:r>
      <w:r>
        <w:t xml:space="preserve">să poată fi </w:t>
      </w:r>
      <w:r w:rsidR="00542424">
        <w:t xml:space="preserve">îngheţate </w:t>
      </w:r>
      <w:r>
        <w:t>în egal</w:t>
      </w:r>
      <w:r w:rsidR="00542424">
        <w:t>a masura</w:t>
      </w:r>
      <w:r>
        <w:t xml:space="preserve">. Această prevedere este disponibilă numai pentru entitățile listate și nu pentru entitățile pe care </w:t>
      </w:r>
      <w:r w:rsidR="00542424">
        <w:t xml:space="preserve">acestea </w:t>
      </w:r>
      <w:r>
        <w:t>le dețin sau le controlează.</w:t>
      </w:r>
    </w:p>
    <w:p w:rsidR="00C9027B" w:rsidRDefault="00662662">
      <w:pPr>
        <w:spacing w:after="18" w:line="259" w:lineRule="auto"/>
        <w:ind w:left="0" w:firstLine="0"/>
        <w:jc w:val="left"/>
      </w:pPr>
      <w:r>
        <w:t xml:space="preserve"> </w:t>
      </w:r>
    </w:p>
    <w:p w:rsidR="00C9027B" w:rsidRDefault="00662662">
      <w:pPr>
        <w:ind w:left="-5" w:right="-8"/>
      </w:pPr>
      <w:r w:rsidRPr="00542424">
        <w:rPr>
          <w:b/>
        </w:rPr>
        <w:t>Contracte-cadru:</w:t>
      </w:r>
      <w:r>
        <w:t xml:space="preserve"> în cazul în care contractele-cadru nu specifică cantitățile exacte, prețul </w:t>
      </w:r>
      <w:r w:rsidR="00542424">
        <w:t>exact</w:t>
      </w:r>
      <w:r>
        <w:t xml:space="preserve"> sau data livrării, acestea nu pot beneficia de </w:t>
      </w:r>
      <w:r w:rsidR="005D7D3C">
        <w:t xml:space="preserve">dispozitiile </w:t>
      </w:r>
      <w:r>
        <w:t>articolul</w:t>
      </w:r>
      <w:r w:rsidR="005D7D3C">
        <w:t>ui</w:t>
      </w:r>
      <w:r>
        <w:t xml:space="preserve"> 4d alineatul (3) din regulament. De obicei, </w:t>
      </w:r>
      <w:r w:rsidR="005D7D3C">
        <w:t>contracte</w:t>
      </w:r>
      <w:r>
        <w:t>le-cadru nu conțin toate elementele necesare pentru executarea unei tranzacții (cum ar fi prețul, cantitățile, datele de livrare, modalitățile de executare etc.). Aceasta înseamnă că implementarea lor necesită semnarea ulterioară a unor contracte noi și specifice.</w:t>
      </w:r>
    </w:p>
    <w:p w:rsidR="00C9027B" w:rsidRDefault="00662662">
      <w:pPr>
        <w:spacing w:after="17" w:line="259" w:lineRule="auto"/>
        <w:ind w:left="0" w:firstLine="0"/>
        <w:jc w:val="left"/>
      </w:pPr>
      <w:r>
        <w:t xml:space="preserve"> </w:t>
      </w:r>
    </w:p>
    <w:p w:rsidR="00C9027B" w:rsidRDefault="00662662">
      <w:pPr>
        <w:spacing w:after="17" w:line="259" w:lineRule="auto"/>
        <w:ind w:left="0" w:firstLine="0"/>
        <w:jc w:val="left"/>
      </w:pPr>
      <w:r>
        <w:t xml:space="preserve"> </w:t>
      </w:r>
    </w:p>
    <w:p w:rsidR="00C9027B" w:rsidRDefault="00662662">
      <w:pPr>
        <w:pStyle w:val="Heading1"/>
        <w:ind w:left="16" w:right="2"/>
      </w:pPr>
      <w:r>
        <w:t>ANEXA I</w:t>
      </w:r>
      <w:r>
        <w:rPr>
          <w:u w:val="none"/>
        </w:rPr>
        <w:t xml:space="preserve">  </w:t>
      </w:r>
    </w:p>
    <w:p w:rsidR="00C9027B" w:rsidRDefault="00662662">
      <w:pPr>
        <w:spacing w:after="0" w:line="259" w:lineRule="auto"/>
        <w:ind w:left="67" w:firstLine="0"/>
        <w:jc w:val="center"/>
      </w:pPr>
      <w:r>
        <w:t xml:space="preserve"> </w:t>
      </w:r>
    </w:p>
    <w:tbl>
      <w:tblPr>
        <w:tblStyle w:val="TableGrid"/>
        <w:tblW w:w="7951" w:type="dxa"/>
        <w:tblInd w:w="108" w:type="dxa"/>
        <w:tblLook w:val="04A0" w:firstRow="1" w:lastRow="0" w:firstColumn="1" w:lastColumn="0" w:noHBand="0" w:noVBand="1"/>
      </w:tblPr>
      <w:tblGrid>
        <w:gridCol w:w="2971"/>
        <w:gridCol w:w="2928"/>
        <w:gridCol w:w="2052"/>
      </w:tblGrid>
      <w:tr w:rsidR="00C9027B">
        <w:trPr>
          <w:trHeight w:val="263"/>
        </w:trPr>
        <w:tc>
          <w:tcPr>
            <w:tcW w:w="2971" w:type="dxa"/>
            <w:tcBorders>
              <w:top w:val="nil"/>
              <w:left w:val="nil"/>
              <w:bottom w:val="nil"/>
              <w:right w:val="nil"/>
            </w:tcBorders>
          </w:tcPr>
          <w:p w:rsidR="00C9027B" w:rsidRDefault="00662662">
            <w:pPr>
              <w:spacing w:after="0" w:line="259" w:lineRule="auto"/>
              <w:ind w:left="0" w:firstLine="0"/>
              <w:jc w:val="left"/>
            </w:pPr>
            <w:r>
              <w:t>Entitate</w:t>
            </w:r>
          </w:p>
        </w:tc>
        <w:tc>
          <w:tcPr>
            <w:tcW w:w="2928" w:type="dxa"/>
            <w:tcBorders>
              <w:top w:val="nil"/>
              <w:left w:val="nil"/>
              <w:bottom w:val="nil"/>
              <w:right w:val="nil"/>
            </w:tcBorders>
          </w:tcPr>
          <w:p w:rsidR="00C9027B" w:rsidRDefault="00662662">
            <w:pPr>
              <w:spacing w:after="0" w:line="259" w:lineRule="auto"/>
              <w:ind w:left="0" w:firstLine="0"/>
              <w:jc w:val="left"/>
            </w:pPr>
            <w:r>
              <w:t>Numărul de înregistrare</w:t>
            </w:r>
          </w:p>
        </w:tc>
        <w:tc>
          <w:tcPr>
            <w:tcW w:w="2052" w:type="dxa"/>
            <w:tcBorders>
              <w:top w:val="nil"/>
              <w:left w:val="nil"/>
              <w:bottom w:val="nil"/>
              <w:right w:val="nil"/>
            </w:tcBorders>
          </w:tcPr>
          <w:p w:rsidR="00C9027B" w:rsidRDefault="00662662">
            <w:pPr>
              <w:spacing w:after="0" w:line="259" w:lineRule="auto"/>
              <w:ind w:left="0" w:firstLine="0"/>
            </w:pPr>
            <w:r>
              <w:t>Data desemnării</w:t>
            </w:r>
          </w:p>
        </w:tc>
      </w:tr>
      <w:tr w:rsidR="00C9027B">
        <w:trPr>
          <w:trHeight w:val="317"/>
        </w:trPr>
        <w:tc>
          <w:tcPr>
            <w:tcW w:w="2971" w:type="dxa"/>
            <w:tcBorders>
              <w:top w:val="nil"/>
              <w:left w:val="nil"/>
              <w:bottom w:val="nil"/>
              <w:right w:val="nil"/>
            </w:tcBorders>
          </w:tcPr>
          <w:p w:rsidR="00C9027B" w:rsidRDefault="00662662">
            <w:pPr>
              <w:spacing w:after="0" w:line="259" w:lineRule="auto"/>
              <w:ind w:left="0" w:firstLine="0"/>
              <w:jc w:val="left"/>
            </w:pPr>
            <w:r>
              <w:t>Myanmar Timber Enterprise</w:t>
            </w:r>
          </w:p>
        </w:tc>
        <w:tc>
          <w:tcPr>
            <w:tcW w:w="2928" w:type="dxa"/>
            <w:tcBorders>
              <w:top w:val="nil"/>
              <w:left w:val="nil"/>
              <w:bottom w:val="nil"/>
              <w:right w:val="nil"/>
            </w:tcBorders>
          </w:tcPr>
          <w:p w:rsidR="00C9027B" w:rsidRDefault="00662662">
            <w:pPr>
              <w:spacing w:after="0" w:line="259" w:lineRule="auto"/>
              <w:ind w:left="0" w:firstLine="0"/>
              <w:jc w:val="left"/>
            </w:pPr>
            <w:r>
              <w:t>Lista nr. 4</w:t>
            </w:r>
          </w:p>
        </w:tc>
        <w:tc>
          <w:tcPr>
            <w:tcW w:w="2052" w:type="dxa"/>
            <w:tcBorders>
              <w:top w:val="nil"/>
              <w:left w:val="nil"/>
              <w:bottom w:val="nil"/>
              <w:right w:val="nil"/>
            </w:tcBorders>
          </w:tcPr>
          <w:p w:rsidR="00C9027B" w:rsidRDefault="00662662">
            <w:pPr>
              <w:spacing w:after="0" w:line="259" w:lineRule="auto"/>
              <w:ind w:left="0" w:firstLine="0"/>
              <w:jc w:val="left"/>
            </w:pPr>
            <w:r>
              <w:t>21 iunie 2021</w:t>
            </w:r>
          </w:p>
        </w:tc>
      </w:tr>
      <w:tr w:rsidR="00C9027B">
        <w:trPr>
          <w:trHeight w:val="317"/>
        </w:trPr>
        <w:tc>
          <w:tcPr>
            <w:tcW w:w="2971" w:type="dxa"/>
            <w:tcBorders>
              <w:top w:val="nil"/>
              <w:left w:val="nil"/>
              <w:bottom w:val="nil"/>
              <w:right w:val="nil"/>
            </w:tcBorders>
          </w:tcPr>
          <w:p w:rsidR="00C9027B" w:rsidRDefault="00662662">
            <w:pPr>
              <w:spacing w:after="0" w:line="259" w:lineRule="auto"/>
              <w:ind w:left="0" w:firstLine="0"/>
              <w:jc w:val="left"/>
            </w:pPr>
            <w:r>
              <w:t>Myanmar Gems Enterprise</w:t>
            </w:r>
          </w:p>
        </w:tc>
        <w:tc>
          <w:tcPr>
            <w:tcW w:w="2928" w:type="dxa"/>
            <w:tcBorders>
              <w:top w:val="nil"/>
              <w:left w:val="nil"/>
              <w:bottom w:val="nil"/>
              <w:right w:val="nil"/>
            </w:tcBorders>
          </w:tcPr>
          <w:p w:rsidR="00C9027B" w:rsidRDefault="00662662">
            <w:pPr>
              <w:spacing w:after="0" w:line="259" w:lineRule="auto"/>
              <w:ind w:left="0" w:firstLine="0"/>
              <w:jc w:val="left"/>
            </w:pPr>
            <w:r>
              <w:t>Lista nr. 3</w:t>
            </w:r>
          </w:p>
        </w:tc>
        <w:tc>
          <w:tcPr>
            <w:tcW w:w="2052" w:type="dxa"/>
            <w:tcBorders>
              <w:top w:val="nil"/>
              <w:left w:val="nil"/>
              <w:bottom w:val="nil"/>
              <w:right w:val="nil"/>
            </w:tcBorders>
          </w:tcPr>
          <w:p w:rsidR="00C9027B" w:rsidRDefault="00662662">
            <w:pPr>
              <w:spacing w:after="0" w:line="259" w:lineRule="auto"/>
              <w:ind w:left="0" w:firstLine="0"/>
              <w:jc w:val="left"/>
            </w:pPr>
            <w:r>
              <w:t>21 iunie 2021</w:t>
            </w:r>
          </w:p>
        </w:tc>
      </w:tr>
      <w:tr w:rsidR="00C9027B">
        <w:trPr>
          <w:trHeight w:val="318"/>
        </w:trPr>
        <w:tc>
          <w:tcPr>
            <w:tcW w:w="2971" w:type="dxa"/>
            <w:tcBorders>
              <w:top w:val="nil"/>
              <w:left w:val="nil"/>
              <w:bottom w:val="nil"/>
              <w:right w:val="nil"/>
            </w:tcBorders>
          </w:tcPr>
          <w:p w:rsidR="00C9027B" w:rsidRDefault="00662662">
            <w:pPr>
              <w:spacing w:after="0" w:line="259" w:lineRule="auto"/>
              <w:ind w:left="0" w:firstLine="0"/>
              <w:jc w:val="left"/>
            </w:pPr>
            <w:r>
              <w:t>Mineritul nr. 1</w:t>
            </w:r>
          </w:p>
        </w:tc>
        <w:tc>
          <w:tcPr>
            <w:tcW w:w="2928" w:type="dxa"/>
            <w:tcBorders>
              <w:top w:val="nil"/>
              <w:left w:val="nil"/>
              <w:bottom w:val="nil"/>
              <w:right w:val="nil"/>
            </w:tcBorders>
          </w:tcPr>
          <w:p w:rsidR="00C9027B" w:rsidRDefault="00662662">
            <w:pPr>
              <w:spacing w:after="0" w:line="259" w:lineRule="auto"/>
              <w:ind w:left="0" w:firstLine="0"/>
              <w:jc w:val="left"/>
            </w:pPr>
            <w:r>
              <w:t>Lista nr. 9</w:t>
            </w:r>
          </w:p>
        </w:tc>
        <w:tc>
          <w:tcPr>
            <w:tcW w:w="2052" w:type="dxa"/>
            <w:tcBorders>
              <w:top w:val="nil"/>
              <w:left w:val="nil"/>
              <w:bottom w:val="nil"/>
              <w:right w:val="nil"/>
            </w:tcBorders>
          </w:tcPr>
          <w:p w:rsidR="00C9027B" w:rsidRDefault="00662662">
            <w:pPr>
              <w:spacing w:after="0" w:line="259" w:lineRule="auto"/>
              <w:ind w:left="0" w:firstLine="0"/>
              <w:jc w:val="left"/>
            </w:pPr>
            <w:r>
              <w:t>21 februarie 2022</w:t>
            </w:r>
          </w:p>
        </w:tc>
      </w:tr>
      <w:tr w:rsidR="00C9027B">
        <w:trPr>
          <w:trHeight w:val="269"/>
        </w:trPr>
        <w:tc>
          <w:tcPr>
            <w:tcW w:w="2971" w:type="dxa"/>
            <w:tcBorders>
              <w:top w:val="nil"/>
              <w:left w:val="nil"/>
              <w:bottom w:val="nil"/>
              <w:right w:val="nil"/>
            </w:tcBorders>
          </w:tcPr>
          <w:p w:rsidR="00C9027B" w:rsidRDefault="00662662">
            <w:pPr>
              <w:spacing w:after="0" w:line="259" w:lineRule="auto"/>
              <w:ind w:left="0" w:firstLine="0"/>
              <w:jc w:val="left"/>
            </w:pPr>
            <w:r>
              <w:t>minerit nr. 2</w:t>
            </w:r>
          </w:p>
        </w:tc>
        <w:tc>
          <w:tcPr>
            <w:tcW w:w="2928" w:type="dxa"/>
            <w:tcBorders>
              <w:top w:val="nil"/>
              <w:left w:val="nil"/>
              <w:bottom w:val="nil"/>
              <w:right w:val="nil"/>
            </w:tcBorders>
          </w:tcPr>
          <w:p w:rsidR="00C9027B" w:rsidRDefault="00662662">
            <w:pPr>
              <w:spacing w:after="0" w:line="259" w:lineRule="auto"/>
              <w:ind w:left="0" w:firstLine="0"/>
              <w:jc w:val="left"/>
            </w:pPr>
            <w:r>
              <w:t>Lista nr. 19</w:t>
            </w:r>
          </w:p>
        </w:tc>
        <w:tc>
          <w:tcPr>
            <w:tcW w:w="2052" w:type="dxa"/>
            <w:tcBorders>
              <w:top w:val="nil"/>
              <w:left w:val="nil"/>
              <w:bottom w:val="nil"/>
              <w:right w:val="nil"/>
            </w:tcBorders>
          </w:tcPr>
          <w:p w:rsidR="00C9027B" w:rsidRDefault="00662662">
            <w:pPr>
              <w:spacing w:after="0" w:line="259" w:lineRule="auto"/>
              <w:ind w:left="0" w:firstLine="0"/>
              <w:jc w:val="left"/>
            </w:pPr>
            <w:r>
              <w:t>20 iulie 2023</w:t>
            </w:r>
          </w:p>
        </w:tc>
      </w:tr>
    </w:tbl>
    <w:p w:rsidR="00C9027B" w:rsidRDefault="00662662">
      <w:pPr>
        <w:spacing w:after="17" w:line="259" w:lineRule="auto"/>
        <w:ind w:left="0" w:firstLine="0"/>
        <w:jc w:val="left"/>
      </w:pPr>
      <w:r>
        <w:t xml:space="preserve"> </w:t>
      </w:r>
    </w:p>
    <w:p w:rsidR="00C9027B" w:rsidRDefault="00662662">
      <w:pPr>
        <w:pStyle w:val="Heading1"/>
        <w:ind w:left="16"/>
      </w:pPr>
      <w:r>
        <w:t>ANEXA II</w:t>
      </w:r>
      <w:r>
        <w:rPr>
          <w:u w:val="none"/>
        </w:rPr>
        <w:t xml:space="preserve"> </w:t>
      </w:r>
    </w:p>
    <w:p w:rsidR="00C9027B" w:rsidRDefault="00662662">
      <w:pPr>
        <w:spacing w:after="17" w:line="259" w:lineRule="auto"/>
        <w:ind w:left="67" w:firstLine="0"/>
        <w:jc w:val="center"/>
      </w:pPr>
      <w:r>
        <w:t xml:space="preserve"> </w:t>
      </w:r>
    </w:p>
    <w:p w:rsidR="00C9027B" w:rsidRDefault="00662662">
      <w:pPr>
        <w:pStyle w:val="Heading2"/>
        <w:spacing w:after="18"/>
        <w:ind w:left="10" w:hanging="10"/>
        <w:jc w:val="center"/>
      </w:pPr>
      <w:r>
        <w:rPr>
          <w:color w:val="000000"/>
          <w:sz w:val="24"/>
        </w:rPr>
        <w:t>[Document separat]</w:t>
      </w:r>
    </w:p>
    <w:p w:rsidR="00C9027B" w:rsidRDefault="00662662">
      <w:pPr>
        <w:spacing w:after="17" w:line="259" w:lineRule="auto"/>
        <w:ind w:left="67" w:firstLine="0"/>
        <w:jc w:val="center"/>
      </w:pPr>
      <w:r>
        <w:t xml:space="preserve"> </w:t>
      </w:r>
    </w:p>
    <w:p w:rsidR="00C9027B" w:rsidRDefault="00662662">
      <w:pPr>
        <w:ind w:left="-5" w:right="-8"/>
      </w:pPr>
      <w:r>
        <w:t>Această listă conține coduri NC furnizate doar cu titlu orientativ. E</w:t>
      </w:r>
      <w:r w:rsidR="005D7D3C">
        <w:t xml:space="preserve">a nu este </w:t>
      </w:r>
      <w:r>
        <w:t>exhaustiv</w:t>
      </w:r>
      <w:r w:rsidR="005D7D3C">
        <w:t>a</w:t>
      </w:r>
      <w:r>
        <w:t xml:space="preserve"> și </w:t>
      </w:r>
      <w:r w:rsidR="005D7D3C">
        <w:t xml:space="preserve">poate fi </w:t>
      </w:r>
      <w:r>
        <w:t>supus</w:t>
      </w:r>
      <w:r w:rsidR="005D7D3C">
        <w:t>a</w:t>
      </w:r>
      <w:r>
        <w:t xml:space="preserve"> revizuirii. Ace</w:t>
      </w:r>
      <w:r w:rsidR="005D7D3C">
        <w:t>a</w:t>
      </w:r>
      <w:r>
        <w:t xml:space="preserve">sta a fost </w:t>
      </w:r>
      <w:r w:rsidR="005D7D3C">
        <w:t>intocmita</w:t>
      </w:r>
      <w:r>
        <w:t xml:space="preserve"> pe baza informațiilor </w:t>
      </w:r>
      <w:r w:rsidR="005D7D3C">
        <w:t>din surse deschise</w:t>
      </w:r>
      <w:r>
        <w:t xml:space="preserve"> privind produsele </w:t>
      </w:r>
      <w:r w:rsidR="005D7D3C">
        <w:t>fabricate</w:t>
      </w:r>
      <w:r>
        <w:t xml:space="preserve"> și comercializate de MTE, ME1, ME2 și MGE.</w:t>
      </w:r>
    </w:p>
    <w:p w:rsidR="00C9027B" w:rsidRDefault="00662662">
      <w:pPr>
        <w:spacing w:after="0" w:line="259" w:lineRule="auto"/>
        <w:ind w:left="0" w:firstLine="0"/>
        <w:jc w:val="left"/>
      </w:pPr>
      <w:r>
        <w:t xml:space="preserve"> </w:t>
      </w:r>
    </w:p>
    <w:sectPr w:rsidR="00C9027B" w:rsidSect="003E1987">
      <w:footerReference w:type="even" r:id="rId7"/>
      <w:footerReference w:type="default" r:id="rId8"/>
      <w:footerReference w:type="first" r:id="rId9"/>
      <w:footnotePr>
        <w:numRestart w:val="eachPage"/>
      </w:footnotePr>
      <w:pgSz w:w="12240" w:h="15840"/>
      <w:pgMar w:top="990" w:right="1447" w:bottom="1440" w:left="1440" w:header="720"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749" w:rsidRDefault="00823749">
      <w:pPr>
        <w:spacing w:after="0" w:line="240" w:lineRule="auto"/>
      </w:pPr>
      <w:r>
        <w:separator/>
      </w:r>
    </w:p>
  </w:endnote>
  <w:endnote w:type="continuationSeparator" w:id="0">
    <w:p w:rsidR="00823749" w:rsidRDefault="00823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27B" w:rsidRDefault="00662662">
    <w:pPr>
      <w:spacing w:after="0" w:line="259" w:lineRule="auto"/>
      <w:ind w:left="0" w:right="7" w:firstLine="0"/>
      <w:jc w:val="right"/>
    </w:pPr>
    <w:r>
      <w:t xml:space="preserve">DG FISMA - Non-paper – Sancțiunile UE în legătură cu Myanmar - </w:t>
    </w:r>
    <w:r>
      <w:fldChar w:fldCharType="begin"/>
    </w:r>
    <w:r>
      <w:instrText xml:space="preserve"> PAGE   \* MERGEFORMAT </w:instrText>
    </w:r>
    <w:r>
      <w:fldChar w:fldCharType="separate"/>
    </w:r>
    <w:r>
      <w:t xml:space="preserve">1 </w:t>
    </w:r>
    <w:r>
      <w:fldChar w:fldCharType="end"/>
    </w:r>
    <w:r>
      <w:t xml:space="preserve">/ </w:t>
    </w:r>
    <w:r w:rsidR="00823749">
      <w:fldChar w:fldCharType="begin"/>
    </w:r>
    <w:r w:rsidR="00823749">
      <w:instrText xml:space="preserve"> NUMPAGES   \* MERGEFORMAT </w:instrText>
    </w:r>
    <w:r w:rsidR="00823749">
      <w:fldChar w:fldCharType="separate"/>
    </w:r>
    <w:r w:rsidR="00134905">
      <w:rPr>
        <w:noProof/>
      </w:rPr>
      <w:t>4</w:t>
    </w:r>
    <w:r w:rsidR="00823749">
      <w:fldChar w:fldCharType="end"/>
    </w:r>
    <w:r>
      <w:t xml:space="preserve"> </w:t>
    </w:r>
  </w:p>
  <w:p w:rsidR="00C9027B" w:rsidRDefault="00662662">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27B" w:rsidRDefault="00662662">
    <w:pPr>
      <w:spacing w:after="0" w:line="259" w:lineRule="auto"/>
      <w:ind w:left="0" w:right="7" w:firstLine="0"/>
      <w:jc w:val="right"/>
    </w:pPr>
    <w:r>
      <w:t xml:space="preserve">DG FISMA - Non-paper – Sancțiunile UE în legătură cu Myanmar - </w:t>
    </w:r>
    <w:r>
      <w:fldChar w:fldCharType="begin"/>
    </w:r>
    <w:r>
      <w:instrText xml:space="preserve"> PAGE   \* MERGEFORMAT </w:instrText>
    </w:r>
    <w:r>
      <w:fldChar w:fldCharType="separate"/>
    </w:r>
    <w:r w:rsidR="00CF0C27">
      <w:rPr>
        <w:noProof/>
      </w:rPr>
      <w:t>3</w:t>
    </w:r>
    <w:r>
      <w:fldChar w:fldCharType="end"/>
    </w:r>
    <w:r>
      <w:t xml:space="preserve">/ </w:t>
    </w:r>
    <w:r w:rsidR="00823749">
      <w:fldChar w:fldCharType="begin"/>
    </w:r>
    <w:r w:rsidR="00823749">
      <w:instrText xml:space="preserve"> NUMPAGES   \* MERGEFORMAT </w:instrText>
    </w:r>
    <w:r w:rsidR="00823749">
      <w:fldChar w:fldCharType="separate"/>
    </w:r>
    <w:r w:rsidR="00CF0C27">
      <w:rPr>
        <w:noProof/>
      </w:rPr>
      <w:t>4</w:t>
    </w:r>
    <w:r w:rsidR="00823749">
      <w:rPr>
        <w:noProof/>
      </w:rPr>
      <w:fldChar w:fldCharType="end"/>
    </w:r>
    <w:r>
      <w:t xml:space="preserve"> </w:t>
    </w:r>
  </w:p>
  <w:p w:rsidR="00C9027B" w:rsidRDefault="00662662">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27B" w:rsidRDefault="00662662">
    <w:pPr>
      <w:spacing w:after="0" w:line="259" w:lineRule="auto"/>
      <w:ind w:left="0" w:right="7" w:firstLine="0"/>
      <w:jc w:val="right"/>
    </w:pPr>
    <w:r>
      <w:t xml:space="preserve">DG FISMA - Non-paper – Sancțiunile UE în legătură cu Myanmar - </w:t>
    </w:r>
    <w:r>
      <w:fldChar w:fldCharType="begin"/>
    </w:r>
    <w:r>
      <w:instrText xml:space="preserve"> PAGE   \* MERGEFORMAT </w:instrText>
    </w:r>
    <w:r>
      <w:fldChar w:fldCharType="separate"/>
    </w:r>
    <w:r>
      <w:t xml:space="preserve">1 </w:t>
    </w:r>
    <w:r>
      <w:fldChar w:fldCharType="end"/>
    </w:r>
    <w:r>
      <w:t xml:space="preserve">/ </w:t>
    </w:r>
    <w:r w:rsidR="00823749">
      <w:fldChar w:fldCharType="begin"/>
    </w:r>
    <w:r w:rsidR="00823749">
      <w:instrText xml:space="preserve"> NUMPAGES   \* MERGEFORMAT </w:instrText>
    </w:r>
    <w:r w:rsidR="00823749">
      <w:fldChar w:fldCharType="separate"/>
    </w:r>
    <w:r w:rsidR="00134905">
      <w:rPr>
        <w:noProof/>
      </w:rPr>
      <w:t>4</w:t>
    </w:r>
    <w:r w:rsidR="00823749">
      <w:fldChar w:fldCharType="end"/>
    </w:r>
    <w:r>
      <w:t xml:space="preserve"> </w:t>
    </w:r>
  </w:p>
  <w:p w:rsidR="00C9027B" w:rsidRDefault="00662662">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749" w:rsidRDefault="00823749">
      <w:pPr>
        <w:spacing w:after="0" w:line="277" w:lineRule="auto"/>
        <w:ind w:left="0" w:firstLine="0"/>
        <w:jc w:val="left"/>
      </w:pPr>
      <w:r>
        <w:separator/>
      </w:r>
    </w:p>
  </w:footnote>
  <w:footnote w:type="continuationSeparator" w:id="0">
    <w:p w:rsidR="00823749" w:rsidRDefault="00823749">
      <w:pPr>
        <w:spacing w:after="0" w:line="277" w:lineRule="auto"/>
        <w:ind w:left="0" w:firstLine="0"/>
        <w:jc w:val="left"/>
      </w:pPr>
      <w:r>
        <w:continuationSeparator/>
      </w:r>
    </w:p>
  </w:footnote>
  <w:footnote w:id="1">
    <w:p w:rsidR="00C9027B" w:rsidRDefault="00662662">
      <w:pPr>
        <w:pStyle w:val="footnotedescription"/>
      </w:pPr>
      <w:r>
        <w:rPr>
          <w:rStyle w:val="footnotemark"/>
        </w:rPr>
        <w:footnoteRef/>
      </w:r>
      <w:r>
        <w:t>Articolul 6b și documentul de orientare pentru regulamentul UE privind lemnul: luarea în considerare a prevalenței conflictelor armate și a sancțiunilor în sistemele de due diligence).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41474"/>
    <w:multiLevelType w:val="hybridMultilevel"/>
    <w:tmpl w:val="9EFA48A4"/>
    <w:lvl w:ilvl="0" w:tplc="35B01B40">
      <w:start w:val="1"/>
      <w:numFmt w:val="decimal"/>
      <w:lvlText w:val="%1."/>
      <w:lvlJc w:val="left"/>
      <w:pPr>
        <w:ind w:left="70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CF4C3092">
      <w:start w:val="1"/>
      <w:numFmt w:val="lowerLetter"/>
      <w:lvlText w:val="%2"/>
      <w:lvlJc w:val="left"/>
      <w:pPr>
        <w:ind w:left="14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9C5015F8">
      <w:start w:val="1"/>
      <w:numFmt w:val="lowerRoman"/>
      <w:lvlText w:val="%3"/>
      <w:lvlJc w:val="left"/>
      <w:pPr>
        <w:ind w:left="21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3F283364">
      <w:start w:val="1"/>
      <w:numFmt w:val="decimal"/>
      <w:lvlText w:val="%4"/>
      <w:lvlJc w:val="left"/>
      <w:pPr>
        <w:ind w:left="28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F28A4A42">
      <w:start w:val="1"/>
      <w:numFmt w:val="lowerLetter"/>
      <w:lvlText w:val="%5"/>
      <w:lvlJc w:val="left"/>
      <w:pPr>
        <w:ind w:left="36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55FE6D8E">
      <w:start w:val="1"/>
      <w:numFmt w:val="lowerRoman"/>
      <w:lvlText w:val="%6"/>
      <w:lvlJc w:val="left"/>
      <w:pPr>
        <w:ind w:left="43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4130379E">
      <w:start w:val="1"/>
      <w:numFmt w:val="decimal"/>
      <w:lvlText w:val="%7"/>
      <w:lvlJc w:val="left"/>
      <w:pPr>
        <w:ind w:left="50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1BD0814E">
      <w:start w:val="1"/>
      <w:numFmt w:val="lowerLetter"/>
      <w:lvlText w:val="%8"/>
      <w:lvlJc w:val="left"/>
      <w:pPr>
        <w:ind w:left="57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F82C724E">
      <w:start w:val="1"/>
      <w:numFmt w:val="lowerRoman"/>
      <w:lvlText w:val="%9"/>
      <w:lvlJc w:val="left"/>
      <w:pPr>
        <w:ind w:left="64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27B"/>
    <w:rsid w:val="00134905"/>
    <w:rsid w:val="001D0BA1"/>
    <w:rsid w:val="003E1987"/>
    <w:rsid w:val="00542424"/>
    <w:rsid w:val="005D7D3C"/>
    <w:rsid w:val="0060783E"/>
    <w:rsid w:val="00662662"/>
    <w:rsid w:val="00684D23"/>
    <w:rsid w:val="00823749"/>
    <w:rsid w:val="00A609C5"/>
    <w:rsid w:val="00C9027B"/>
    <w:rsid w:val="00CF0C27"/>
    <w:rsid w:val="00F9064E"/>
    <w:rsid w:val="00F96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B7DCA"/>
  <w15:docId w15:val="{DF3D43FB-B139-473F-871D-D12329E45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76"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7"/>
      <w:ind w:left="14" w:hanging="10"/>
      <w:jc w:val="center"/>
      <w:outlineLvl w:val="0"/>
    </w:pPr>
    <w:rPr>
      <w:rFonts w:ascii="Times New Roman" w:eastAsia="Times New Roman" w:hAnsi="Times New Roman" w:cs="Times New Roman"/>
      <w:color w:val="000000"/>
      <w:sz w:val="24"/>
      <w:u w:val="single" w:color="000000"/>
    </w:rPr>
  </w:style>
  <w:style w:type="paragraph" w:styleId="Heading2">
    <w:name w:val="heading 2"/>
    <w:next w:val="Normal"/>
    <w:link w:val="Heading2Char"/>
    <w:uiPriority w:val="9"/>
    <w:unhideWhenUsed/>
    <w:qFormat/>
    <w:pPr>
      <w:keepNext/>
      <w:keepLines/>
      <w:spacing w:after="31"/>
      <w:outlineLvl w:val="1"/>
    </w:pPr>
    <w:rPr>
      <w:rFonts w:ascii="Times New Roman" w:eastAsia="Times New Roman" w:hAnsi="Times New Roman" w:cs="Times New Roman"/>
      <w:color w:val="333333"/>
    </w:rPr>
  </w:style>
  <w:style w:type="paragraph" w:styleId="Heading3">
    <w:name w:val="heading 3"/>
    <w:next w:val="Normal"/>
    <w:link w:val="Heading3Char"/>
    <w:uiPriority w:val="9"/>
    <w:unhideWhenUsed/>
    <w:qFormat/>
    <w:pPr>
      <w:keepNext/>
      <w:keepLines/>
      <w:spacing w:after="5"/>
      <w:ind w:left="10" w:hanging="10"/>
      <w:outlineLvl w:val="2"/>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color w:val="000000"/>
      <w:sz w:val="22"/>
    </w:rPr>
  </w:style>
  <w:style w:type="character" w:customStyle="1" w:styleId="Heading2Char">
    <w:name w:val="Heading 2 Char"/>
    <w:link w:val="Heading2"/>
    <w:rPr>
      <w:rFonts w:ascii="Times New Roman" w:eastAsia="Times New Roman" w:hAnsi="Times New Roman" w:cs="Times New Roman"/>
      <w:color w:val="333333"/>
      <w:sz w:val="22"/>
    </w:rPr>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paragraph" w:customStyle="1" w:styleId="footnotedescription">
    <w:name w:val="footnote description"/>
    <w:next w:val="Normal"/>
    <w:link w:val="footnotedescriptionChar"/>
    <w:hidden/>
    <w:pPr>
      <w:spacing w:after="0" w:line="277"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349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905"/>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4</Pages>
  <Words>1507</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Microsoft Word - 2023 07 27 - Non-paper - Myanmar AF.docx</vt:lpstr>
    </vt:vector>
  </TitlesOfParts>
  <Company/>
  <LinksUpToDate>false</LinksUpToDate>
  <CharactersWithSpaces>10083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- 2023 07 27 - Non-paper - Myanmar AF.docx</dc:title>
  <dc:subject/>
  <dc:creator>monfois</dc:creator>
  <cp:keywords/>
  <cp:lastModifiedBy>Rodica Staicu</cp:lastModifiedBy>
  <cp:revision>3</cp:revision>
  <cp:lastPrinted>2023-08-03T11:11:00Z</cp:lastPrinted>
  <dcterms:created xsi:type="dcterms:W3CDTF">2023-08-02T12:13:00Z</dcterms:created>
  <dcterms:modified xsi:type="dcterms:W3CDTF">2023-08-03T12:40:00Z</dcterms:modified>
</cp:coreProperties>
</file>