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AB" w:rsidRPr="00D739AB" w:rsidRDefault="001223C7" w:rsidP="00D739AB">
      <w:pPr>
        <w:jc w:val="center"/>
        <w:rPr>
          <w:rFonts w:ascii="Times New Roman" w:hAnsi="Times New Roman" w:cs="Times New Roman"/>
          <w:b/>
          <w:sz w:val="28"/>
          <w:szCs w:val="28"/>
        </w:rPr>
      </w:pPr>
      <w:r w:rsidRPr="00D739AB">
        <w:rPr>
          <w:rFonts w:ascii="Times New Roman" w:hAnsi="Times New Roman" w:cs="Times New Roman"/>
          <w:b/>
          <w:noProof/>
          <w:lang w:val="en-US"/>
        </w:rPr>
        <w:drawing>
          <wp:anchor distT="0" distB="0" distL="114300" distR="114300" simplePos="0" relativeHeight="251658240" behindDoc="0" locked="0" layoutInCell="1" allowOverlap="1" wp14:anchorId="05796B16" wp14:editId="1E0DD52E">
            <wp:simplePos x="0" y="0"/>
            <wp:positionH relativeFrom="column">
              <wp:posOffset>-285750</wp:posOffset>
            </wp:positionH>
            <wp:positionV relativeFrom="paragraph">
              <wp:posOffset>0</wp:posOffset>
            </wp:positionV>
            <wp:extent cx="1123950" cy="990600"/>
            <wp:effectExtent l="0" t="0" r="0" b="0"/>
            <wp:wrapNone/>
            <wp:docPr id="3" name="Imagine 3" descr="http://www.usasianpost.com/wp-content/uploads/2012/10/FATF.jpg"/>
            <wp:cNvGraphicFramePr/>
            <a:graphic xmlns:a="http://schemas.openxmlformats.org/drawingml/2006/main">
              <a:graphicData uri="http://schemas.openxmlformats.org/drawingml/2006/picture">
                <pic:pic xmlns:pic="http://schemas.openxmlformats.org/drawingml/2006/picture">
                  <pic:nvPicPr>
                    <pic:cNvPr id="3" name="Imagine 3" descr="http://www.usasianpost.com/wp-content/uploads/2012/10/FATF.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5C2" w:rsidRPr="00D739AB">
        <w:rPr>
          <w:rFonts w:ascii="Times New Roman" w:hAnsi="Times New Roman" w:cs="Times New Roman"/>
          <w:b/>
          <w:sz w:val="28"/>
          <w:szCs w:val="28"/>
        </w:rPr>
        <w:t>ÎMBUNĂTĂŢIREA PROCESULUI GLOBAL</w:t>
      </w:r>
    </w:p>
    <w:p w:rsidR="006265C2" w:rsidRPr="00D739AB" w:rsidRDefault="006265C2" w:rsidP="00D739AB">
      <w:pPr>
        <w:jc w:val="center"/>
        <w:rPr>
          <w:rFonts w:ascii="Times New Roman" w:hAnsi="Times New Roman" w:cs="Times New Roman"/>
          <w:b/>
        </w:rPr>
      </w:pPr>
      <w:r w:rsidRPr="00D739AB">
        <w:rPr>
          <w:rFonts w:ascii="Times New Roman" w:hAnsi="Times New Roman" w:cs="Times New Roman"/>
          <w:b/>
          <w:sz w:val="28"/>
          <w:szCs w:val="28"/>
        </w:rPr>
        <w:t>DE CONFORMITATE CSB/CFT</w:t>
      </w:r>
    </w:p>
    <w:p w:rsidR="00E73E7B" w:rsidRPr="006265C2" w:rsidRDefault="006265C2" w:rsidP="00D94CDD">
      <w:pPr>
        <w:pStyle w:val="Titlu1"/>
        <w:spacing w:line="276" w:lineRule="auto"/>
        <w:rPr>
          <w:sz w:val="28"/>
          <w:szCs w:val="28"/>
        </w:rPr>
      </w:pPr>
      <w:r w:rsidRPr="006265C2">
        <w:rPr>
          <w:sz w:val="28"/>
          <w:szCs w:val="28"/>
        </w:rPr>
        <w:t xml:space="preserve">PROCES ÎN DERULARE – </w:t>
      </w:r>
      <w:r w:rsidR="00320B23">
        <w:rPr>
          <w:sz w:val="28"/>
          <w:szCs w:val="28"/>
        </w:rPr>
        <w:t>23 februarie 2018</w:t>
      </w:r>
    </w:p>
    <w:p w:rsidR="009C6510" w:rsidRDefault="009C6510" w:rsidP="00D94CDD">
      <w:pPr>
        <w:pStyle w:val="Titlu"/>
        <w:tabs>
          <w:tab w:val="left" w:pos="1530"/>
        </w:tabs>
        <w:spacing w:line="276" w:lineRule="auto"/>
        <w:jc w:val="both"/>
        <w:rPr>
          <w:sz w:val="28"/>
          <w:szCs w:val="28"/>
          <w:lang w:val="ro-RO"/>
        </w:rPr>
      </w:pPr>
      <w:r w:rsidRPr="006265C2">
        <w:rPr>
          <w:sz w:val="28"/>
          <w:szCs w:val="28"/>
          <w:lang w:val="ro-RO"/>
        </w:rPr>
        <w:t xml:space="preserve">                     </w:t>
      </w:r>
    </w:p>
    <w:p w:rsidR="00DE569A" w:rsidRPr="006265C2" w:rsidRDefault="00DE569A" w:rsidP="00D94CDD">
      <w:pPr>
        <w:pStyle w:val="Titlu"/>
        <w:tabs>
          <w:tab w:val="left" w:pos="1530"/>
        </w:tabs>
        <w:spacing w:line="276" w:lineRule="auto"/>
        <w:jc w:val="both"/>
        <w:rPr>
          <w:sz w:val="28"/>
          <w:szCs w:val="28"/>
          <w:lang w:val="ro-RO"/>
        </w:rPr>
      </w:pPr>
    </w:p>
    <w:p w:rsidR="006265C2" w:rsidRPr="00541D3B" w:rsidRDefault="002848E9" w:rsidP="00D824B9">
      <w:pPr>
        <w:pStyle w:val="Corptext"/>
        <w:ind w:firstLine="720"/>
        <w:jc w:val="both"/>
        <w:rPr>
          <w:rFonts w:ascii="Times New Roman" w:hAnsi="Times New Roman" w:cs="Times New Roman"/>
          <w:sz w:val="26"/>
          <w:szCs w:val="26"/>
        </w:rPr>
      </w:pPr>
      <w:r>
        <w:rPr>
          <w:rFonts w:ascii="Times New Roman" w:hAnsi="Times New Roman" w:cs="Times New Roman"/>
          <w:i/>
          <w:sz w:val="26"/>
          <w:szCs w:val="26"/>
        </w:rPr>
        <w:t>Paris,23 februarie 2018</w:t>
      </w:r>
      <w:r w:rsidR="00BA6007" w:rsidRPr="00BA6007">
        <w:rPr>
          <w:rFonts w:ascii="Calibri" w:hAnsi="Calibri"/>
          <w:color w:val="333333"/>
          <w:sz w:val="21"/>
          <w:szCs w:val="21"/>
        </w:rPr>
        <w:t> </w:t>
      </w:r>
      <w:r w:rsidR="006265C2" w:rsidRPr="00541D3B">
        <w:rPr>
          <w:rFonts w:ascii="Times New Roman" w:hAnsi="Times New Roman" w:cs="Times New Roman"/>
          <w:sz w:val="26"/>
          <w:szCs w:val="26"/>
        </w:rPr>
        <w:t>- Ca parte a procesului de evaluare a conformităţii cu standardele CSB/CFT, FATF a identificat până în prezent următoarele jurisdicţii care prezintă deficienţe strategice CSB/CFT, dar care au dezvoltat un plan de acţiune cu FATF. Deşi situaţiile diferă de la o jurisdicţie la alta, fiecare dintre acestea a prezentat un angajament politic scris, la nivel înalt, pentru abordarea deficienţelor identificate. FATF apreciază aceste angajamente.</w:t>
      </w:r>
      <w:bookmarkStart w:id="0" w:name="_GoBack"/>
      <w:bookmarkEnd w:id="0"/>
    </w:p>
    <w:p w:rsidR="006265C2" w:rsidRPr="00541D3B" w:rsidRDefault="006265C2" w:rsidP="00D94CDD">
      <w:pPr>
        <w:jc w:val="both"/>
        <w:rPr>
          <w:rFonts w:ascii="Times New Roman" w:hAnsi="Times New Roman" w:cs="Times New Roman"/>
          <w:sz w:val="26"/>
          <w:szCs w:val="26"/>
        </w:rPr>
      </w:pPr>
      <w:r w:rsidRPr="00541D3B">
        <w:rPr>
          <w:rFonts w:ascii="Times New Roman" w:hAnsi="Times New Roman" w:cs="Times New Roman"/>
          <w:sz w:val="26"/>
          <w:szCs w:val="26"/>
        </w:rPr>
        <w:t xml:space="preserve">Un număr mare de jurisdicţii nu a fost încă analizat de FATF. FATF va continua, în cadrul unui proces continuu, să identifice şi alte jurisdicţii care prezintă riscuri pentru sistemul financiar internaţional. </w:t>
      </w:r>
    </w:p>
    <w:p w:rsidR="006265C2" w:rsidRDefault="006265C2" w:rsidP="00D94CDD">
      <w:pPr>
        <w:jc w:val="both"/>
        <w:rPr>
          <w:rFonts w:ascii="Times New Roman" w:hAnsi="Times New Roman" w:cs="Times New Roman"/>
          <w:sz w:val="26"/>
          <w:szCs w:val="26"/>
        </w:rPr>
      </w:pPr>
      <w:r w:rsidRPr="00541D3B">
        <w:rPr>
          <w:rFonts w:ascii="Times New Roman" w:hAnsi="Times New Roman" w:cs="Times New Roman"/>
          <w:sz w:val="26"/>
          <w:szCs w:val="26"/>
        </w:rPr>
        <w:t xml:space="preserve">FATF si </w:t>
      </w:r>
      <w:proofErr w:type="spellStart"/>
      <w:r w:rsidRPr="00541D3B">
        <w:rPr>
          <w:rFonts w:ascii="Times New Roman" w:hAnsi="Times New Roman" w:cs="Times New Roman"/>
          <w:sz w:val="26"/>
          <w:szCs w:val="26"/>
        </w:rPr>
        <w:t>FSRB-urile</w:t>
      </w:r>
      <w:proofErr w:type="spellEnd"/>
      <w:r w:rsidRPr="00541D3B">
        <w:rPr>
          <w:rFonts w:ascii="Times New Roman" w:hAnsi="Times New Roman" w:cs="Times New Roman"/>
          <w:sz w:val="26"/>
          <w:szCs w:val="26"/>
        </w:rPr>
        <w:t xml:space="preserve"> (</w:t>
      </w:r>
      <w:proofErr w:type="spellStart"/>
      <w:r w:rsidRPr="00541D3B">
        <w:rPr>
          <w:rFonts w:ascii="Times New Roman" w:hAnsi="Times New Roman" w:cs="Times New Roman"/>
          <w:sz w:val="26"/>
          <w:szCs w:val="26"/>
        </w:rPr>
        <w:t>n.t</w:t>
      </w:r>
      <w:proofErr w:type="spellEnd"/>
      <w:r w:rsidRPr="00541D3B">
        <w:rPr>
          <w:rFonts w:ascii="Times New Roman" w:hAnsi="Times New Roman" w:cs="Times New Roman"/>
          <w:sz w:val="26"/>
          <w:szCs w:val="26"/>
        </w:rPr>
        <w:t>. organisme regionale de tip FATF) vor continua să coopereze cu jurisdicţiile menţionate mai jos şi să raporteze progresele înregistrate în abordarea deficienţelor identificate. FATF solicită acestor jurisdicţii să finalizeze cu promptitudine implementarea planurilor de acţiune şi mai ales în cadrul intervalelor de timp stabilite. FATF va monitoriza îndeaproape implementarea acestor planuri de acţiune şi încurajează membrii săi să aibă în vedere informaţiile prezentate în continuare.</w:t>
      </w:r>
    </w:p>
    <w:p w:rsidR="00DE569A" w:rsidRPr="00541D3B" w:rsidRDefault="00DE569A" w:rsidP="00D94CDD">
      <w:pPr>
        <w:jc w:val="both"/>
        <w:rPr>
          <w:rFonts w:ascii="Times New Roman" w:hAnsi="Times New Roman" w:cs="Times New Roman"/>
          <w:sz w:val="26"/>
          <w:szCs w:val="26"/>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950"/>
      </w:tblGrid>
      <w:tr w:rsidR="004422D9" w:rsidRPr="00541D3B" w:rsidTr="002848E9">
        <w:trPr>
          <w:trHeight w:val="900"/>
        </w:trPr>
        <w:tc>
          <w:tcPr>
            <w:tcW w:w="4248" w:type="dxa"/>
            <w:shd w:val="clear" w:color="auto" w:fill="auto"/>
          </w:tcPr>
          <w:p w:rsidR="004422D9" w:rsidRPr="00541D3B" w:rsidRDefault="004422D9" w:rsidP="00DE569A">
            <w:pPr>
              <w:tabs>
                <w:tab w:val="left" w:pos="1560"/>
              </w:tabs>
              <w:rPr>
                <w:rFonts w:ascii="Times New Roman" w:hAnsi="Times New Roman" w:cs="Times New Roman"/>
                <w:b/>
                <w:sz w:val="26"/>
                <w:szCs w:val="26"/>
              </w:rPr>
            </w:pPr>
            <w:r w:rsidRPr="004422D9">
              <w:rPr>
                <w:rFonts w:ascii="Times New Roman" w:hAnsi="Times New Roman" w:cs="Times New Roman"/>
                <w:bCs/>
                <w:sz w:val="26"/>
                <w:szCs w:val="26"/>
              </w:rPr>
              <w:t>Jurisdicții cu deficiențe strategice de tipul CSB/CFT</w:t>
            </w:r>
          </w:p>
        </w:tc>
        <w:tc>
          <w:tcPr>
            <w:tcW w:w="4950" w:type="dxa"/>
            <w:shd w:val="clear" w:color="auto" w:fill="auto"/>
          </w:tcPr>
          <w:p w:rsidR="004422D9" w:rsidRPr="00541D3B" w:rsidRDefault="004422D9" w:rsidP="00DE569A">
            <w:pPr>
              <w:tabs>
                <w:tab w:val="left" w:pos="1560"/>
              </w:tabs>
              <w:rPr>
                <w:rFonts w:ascii="Times New Roman" w:hAnsi="Times New Roman" w:cs="Times New Roman"/>
                <w:b/>
                <w:sz w:val="26"/>
                <w:szCs w:val="26"/>
              </w:rPr>
            </w:pPr>
            <w:r w:rsidRPr="00541D3B">
              <w:rPr>
                <w:rFonts w:ascii="Times New Roman" w:hAnsi="Times New Roman" w:cs="Times New Roman"/>
                <w:bCs/>
                <w:sz w:val="26"/>
                <w:szCs w:val="26"/>
              </w:rPr>
              <w:t>Jurisdicții care nu mai fac obiectul procesului global de îmbunătățire a conformității FATF</w:t>
            </w:r>
          </w:p>
        </w:tc>
      </w:tr>
      <w:tr w:rsidR="002848E9" w:rsidRPr="00541D3B" w:rsidTr="00DE569A">
        <w:trPr>
          <w:trHeight w:val="354"/>
        </w:trPr>
        <w:tc>
          <w:tcPr>
            <w:tcW w:w="4248" w:type="dxa"/>
            <w:shd w:val="clear" w:color="auto" w:fill="auto"/>
          </w:tcPr>
          <w:p w:rsidR="002848E9" w:rsidRDefault="0001599C" w:rsidP="002848E9">
            <w:pPr>
              <w:spacing w:line="276" w:lineRule="auto"/>
            </w:pPr>
            <w:hyperlink r:id="rId9" w:anchor="ethiopia" w:history="1">
              <w:r w:rsidR="002848E9" w:rsidRPr="002848E9">
                <w:rPr>
                  <w:rFonts w:ascii="Times New Roman" w:hAnsi="Times New Roman" w:cs="Times New Roman"/>
                  <w:b/>
                  <w:sz w:val="26"/>
                  <w:szCs w:val="26"/>
                </w:rPr>
                <w:t>Etiopia</w:t>
              </w:r>
            </w:hyperlink>
            <w:hyperlink r:id="rId10" w:anchor="Afghanistan" w:history="1">
              <w:r w:rsidR="002848E9" w:rsidRPr="002848E9">
                <w:rPr>
                  <w:rFonts w:ascii="Times New Roman" w:hAnsi="Times New Roman" w:cs="Times New Roman"/>
                  <w:b/>
                  <w:sz w:val="26"/>
                  <w:szCs w:val="26"/>
                </w:rPr>
                <w:br/>
              </w:r>
            </w:hyperlink>
            <w:bookmarkStart w:id="1" w:name="Serbia"/>
            <w:r w:rsidR="002848E9" w:rsidRPr="002848E9">
              <w:rPr>
                <w:rFonts w:ascii="Times New Roman" w:hAnsi="Times New Roman" w:cs="Times New Roman"/>
                <w:b/>
                <w:sz w:val="26"/>
                <w:szCs w:val="26"/>
              </w:rPr>
              <w:fldChar w:fldCharType="begin"/>
            </w:r>
            <w:r w:rsidR="002848E9" w:rsidRPr="002848E9">
              <w:rPr>
                <w:rFonts w:ascii="Times New Roman" w:hAnsi="Times New Roman" w:cs="Times New Roman"/>
                <w:b/>
                <w:sz w:val="26"/>
                <w:szCs w:val="26"/>
              </w:rPr>
              <w:instrText xml:space="preserve"> HYPERLINK "http://www.fatf-gafi.org/publications/high-riskandnon-cooperativejurisdictions/documents/fatf-compliance-february-2018.html" \l "iraq" </w:instrText>
            </w:r>
            <w:r w:rsidR="002848E9" w:rsidRPr="002848E9">
              <w:rPr>
                <w:rFonts w:ascii="Times New Roman" w:hAnsi="Times New Roman" w:cs="Times New Roman"/>
                <w:b/>
                <w:sz w:val="26"/>
                <w:szCs w:val="26"/>
              </w:rPr>
              <w:fldChar w:fldCharType="separate"/>
            </w:r>
            <w:r w:rsidR="002848E9" w:rsidRPr="002848E9">
              <w:rPr>
                <w:rFonts w:ascii="Times New Roman" w:hAnsi="Times New Roman" w:cs="Times New Roman"/>
                <w:b/>
                <w:sz w:val="26"/>
                <w:szCs w:val="26"/>
              </w:rPr>
              <w:t>Irak</w:t>
            </w:r>
            <w:r w:rsidR="002848E9" w:rsidRPr="002848E9">
              <w:rPr>
                <w:rFonts w:ascii="Times New Roman" w:hAnsi="Times New Roman" w:cs="Times New Roman"/>
                <w:b/>
                <w:sz w:val="26"/>
                <w:szCs w:val="26"/>
              </w:rPr>
              <w:br/>
              <w:t>Serbia</w:t>
            </w:r>
            <w:r w:rsidR="002848E9" w:rsidRPr="002848E9">
              <w:rPr>
                <w:rFonts w:ascii="Times New Roman" w:hAnsi="Times New Roman" w:cs="Times New Roman"/>
                <w:b/>
                <w:sz w:val="26"/>
                <w:szCs w:val="26"/>
              </w:rPr>
              <w:br/>
            </w:r>
            <w:r w:rsidR="002848E9" w:rsidRPr="002848E9">
              <w:rPr>
                <w:rFonts w:ascii="Times New Roman" w:hAnsi="Times New Roman" w:cs="Times New Roman"/>
                <w:b/>
                <w:sz w:val="26"/>
                <w:szCs w:val="26"/>
              </w:rPr>
              <w:fldChar w:fldCharType="end"/>
            </w:r>
            <w:bookmarkEnd w:id="1"/>
            <w:r w:rsidR="002848E9" w:rsidRPr="002848E9">
              <w:rPr>
                <w:rFonts w:ascii="Times New Roman" w:hAnsi="Times New Roman" w:cs="Times New Roman"/>
                <w:b/>
                <w:sz w:val="26"/>
                <w:szCs w:val="26"/>
              </w:rPr>
              <w:fldChar w:fldCharType="begin"/>
            </w:r>
            <w:r w:rsidR="002848E9" w:rsidRPr="002848E9">
              <w:rPr>
                <w:rFonts w:ascii="Times New Roman" w:hAnsi="Times New Roman" w:cs="Times New Roman"/>
                <w:b/>
                <w:sz w:val="26"/>
                <w:szCs w:val="26"/>
              </w:rPr>
              <w:instrText xml:space="preserve"> HYPERLINK "http://www.fatf-gafi.org/publications/high-riskandnon-cooperativejurisdictions/documents/fatf-compliance-february-2018.html" \l "SriLanka" </w:instrText>
            </w:r>
            <w:r w:rsidR="002848E9" w:rsidRPr="002848E9">
              <w:rPr>
                <w:rFonts w:ascii="Times New Roman" w:hAnsi="Times New Roman" w:cs="Times New Roman"/>
                <w:b/>
                <w:sz w:val="26"/>
                <w:szCs w:val="26"/>
              </w:rPr>
              <w:fldChar w:fldCharType="separate"/>
            </w:r>
            <w:r w:rsidR="002848E9" w:rsidRPr="002848E9">
              <w:rPr>
                <w:rFonts w:ascii="Times New Roman" w:hAnsi="Times New Roman" w:cs="Times New Roman"/>
                <w:b/>
                <w:sz w:val="26"/>
                <w:szCs w:val="26"/>
              </w:rPr>
              <w:t>Sri Lanka</w:t>
            </w:r>
            <w:r w:rsidR="002848E9" w:rsidRPr="002848E9">
              <w:rPr>
                <w:rFonts w:ascii="Times New Roman" w:hAnsi="Times New Roman" w:cs="Times New Roman"/>
                <w:b/>
                <w:sz w:val="26"/>
                <w:szCs w:val="26"/>
              </w:rPr>
              <w:br/>
            </w:r>
            <w:r w:rsidR="002848E9" w:rsidRPr="002848E9">
              <w:rPr>
                <w:rFonts w:ascii="Times New Roman" w:hAnsi="Times New Roman" w:cs="Times New Roman"/>
                <w:b/>
                <w:sz w:val="26"/>
                <w:szCs w:val="26"/>
              </w:rPr>
              <w:fldChar w:fldCharType="end"/>
            </w:r>
            <w:hyperlink r:id="rId11" w:anchor="syria" w:history="1">
              <w:r w:rsidR="002848E9">
                <w:rPr>
                  <w:rFonts w:ascii="Times New Roman" w:hAnsi="Times New Roman" w:cs="Times New Roman"/>
                  <w:b/>
                  <w:sz w:val="26"/>
                  <w:szCs w:val="26"/>
                </w:rPr>
                <w:t>Si</w:t>
              </w:r>
              <w:r w:rsidR="002848E9" w:rsidRPr="002848E9">
                <w:rPr>
                  <w:rFonts w:ascii="Times New Roman" w:hAnsi="Times New Roman" w:cs="Times New Roman"/>
                  <w:b/>
                  <w:sz w:val="26"/>
                  <w:szCs w:val="26"/>
                </w:rPr>
                <w:t>ria</w:t>
              </w:r>
              <w:r w:rsidR="002848E9" w:rsidRPr="002848E9">
                <w:rPr>
                  <w:rFonts w:ascii="Times New Roman" w:hAnsi="Times New Roman" w:cs="Times New Roman"/>
                  <w:b/>
                  <w:sz w:val="26"/>
                  <w:szCs w:val="26"/>
                </w:rPr>
                <w:br/>
              </w:r>
            </w:hyperlink>
            <w:hyperlink r:id="rId12" w:anchor="Trinidad" w:history="1">
              <w:r w:rsidR="002848E9" w:rsidRPr="002848E9">
                <w:rPr>
                  <w:rFonts w:ascii="Times New Roman" w:hAnsi="Times New Roman" w:cs="Times New Roman"/>
                  <w:b/>
                  <w:sz w:val="26"/>
                  <w:szCs w:val="26"/>
                </w:rPr>
                <w:t xml:space="preserve">Trinidad </w:t>
              </w:r>
              <w:r w:rsidR="002848E9">
                <w:rPr>
                  <w:rFonts w:ascii="Times New Roman" w:hAnsi="Times New Roman" w:cs="Times New Roman"/>
                  <w:b/>
                  <w:sz w:val="26"/>
                  <w:szCs w:val="26"/>
                </w:rPr>
                <w:t>si</w:t>
              </w:r>
              <w:r w:rsidR="002848E9" w:rsidRPr="002848E9">
                <w:rPr>
                  <w:rFonts w:ascii="Times New Roman" w:hAnsi="Times New Roman" w:cs="Times New Roman"/>
                  <w:b/>
                  <w:sz w:val="26"/>
                  <w:szCs w:val="26"/>
                </w:rPr>
                <w:t xml:space="preserve"> Tobago</w:t>
              </w:r>
              <w:r w:rsidR="002848E9" w:rsidRPr="002848E9">
                <w:rPr>
                  <w:rFonts w:ascii="Times New Roman" w:hAnsi="Times New Roman" w:cs="Times New Roman"/>
                  <w:b/>
                  <w:sz w:val="26"/>
                  <w:szCs w:val="26"/>
                </w:rPr>
                <w:br/>
              </w:r>
            </w:hyperlink>
            <w:hyperlink r:id="rId13" w:anchor="Tunisia" w:history="1">
              <w:r w:rsidR="002848E9" w:rsidRPr="002848E9">
                <w:rPr>
                  <w:rFonts w:ascii="Times New Roman" w:hAnsi="Times New Roman" w:cs="Times New Roman"/>
                  <w:b/>
                  <w:sz w:val="26"/>
                  <w:szCs w:val="26"/>
                </w:rPr>
                <w:t>Tunisia</w:t>
              </w:r>
              <w:r w:rsidR="002848E9" w:rsidRPr="002848E9">
                <w:rPr>
                  <w:rFonts w:ascii="Times New Roman" w:hAnsi="Times New Roman" w:cs="Times New Roman"/>
                  <w:b/>
                  <w:sz w:val="26"/>
                  <w:szCs w:val="26"/>
                </w:rPr>
                <w:br/>
              </w:r>
            </w:hyperlink>
            <w:hyperlink r:id="rId14" w:anchor="vanuatu" w:history="1">
              <w:r w:rsidR="002848E9" w:rsidRPr="002848E9">
                <w:rPr>
                  <w:rFonts w:ascii="Times New Roman" w:hAnsi="Times New Roman" w:cs="Times New Roman"/>
                  <w:b/>
                  <w:sz w:val="26"/>
                  <w:szCs w:val="26"/>
                </w:rPr>
                <w:t>Vanuatu</w:t>
              </w:r>
              <w:r w:rsidR="002848E9" w:rsidRPr="002848E9">
                <w:rPr>
                  <w:rFonts w:ascii="Times New Roman" w:hAnsi="Times New Roman" w:cs="Times New Roman"/>
                  <w:b/>
                  <w:sz w:val="26"/>
                  <w:szCs w:val="26"/>
                </w:rPr>
                <w:br/>
              </w:r>
            </w:hyperlink>
            <w:hyperlink r:id="rId15" w:anchor="yemen" w:history="1">
              <w:r w:rsidR="002848E9" w:rsidRPr="002848E9">
                <w:rPr>
                  <w:rFonts w:ascii="Times New Roman" w:hAnsi="Times New Roman" w:cs="Times New Roman"/>
                  <w:b/>
                  <w:sz w:val="26"/>
                  <w:szCs w:val="26"/>
                </w:rPr>
                <w:t>Yemen</w:t>
              </w:r>
            </w:hyperlink>
          </w:p>
        </w:tc>
        <w:tc>
          <w:tcPr>
            <w:tcW w:w="4950" w:type="dxa"/>
            <w:shd w:val="clear" w:color="auto" w:fill="auto"/>
          </w:tcPr>
          <w:p w:rsidR="002848E9" w:rsidRPr="00541D3B" w:rsidRDefault="002848E9" w:rsidP="00DE569A">
            <w:pPr>
              <w:spacing w:line="276" w:lineRule="auto"/>
              <w:rPr>
                <w:rFonts w:ascii="Times New Roman" w:hAnsi="Times New Roman" w:cs="Times New Roman"/>
                <w:b/>
                <w:sz w:val="26"/>
                <w:szCs w:val="26"/>
              </w:rPr>
            </w:pPr>
            <w:r>
              <w:rPr>
                <w:rFonts w:ascii="Times New Roman" w:hAnsi="Times New Roman" w:cs="Times New Roman"/>
                <w:b/>
                <w:sz w:val="26"/>
                <w:szCs w:val="26"/>
              </w:rPr>
              <w:t>Bosnia și Herțegovina</w:t>
            </w:r>
          </w:p>
        </w:tc>
      </w:tr>
    </w:tbl>
    <w:p w:rsidR="00A0433D" w:rsidRPr="00541D3B" w:rsidRDefault="00A0433D" w:rsidP="00D94CDD">
      <w:pPr>
        <w:jc w:val="both"/>
        <w:rPr>
          <w:rFonts w:ascii="Times New Roman" w:hAnsi="Times New Roman" w:cs="Times New Roman"/>
          <w:bCs/>
          <w:sz w:val="26"/>
          <w:szCs w:val="26"/>
        </w:rPr>
      </w:pPr>
    </w:p>
    <w:p w:rsidR="002848E9" w:rsidRDefault="002848E9" w:rsidP="00D94CDD">
      <w:pPr>
        <w:pBdr>
          <w:bottom w:val="single" w:sz="4" w:space="1" w:color="auto"/>
        </w:pBdr>
        <w:jc w:val="both"/>
        <w:rPr>
          <w:rFonts w:ascii="Times New Roman" w:hAnsi="Times New Roman" w:cs="Times New Roman"/>
          <w:b/>
          <w:bCs/>
          <w:sz w:val="26"/>
          <w:szCs w:val="26"/>
        </w:rPr>
      </w:pPr>
    </w:p>
    <w:p w:rsidR="002848E9" w:rsidRDefault="002848E9" w:rsidP="00D94CDD">
      <w:pPr>
        <w:pBdr>
          <w:bottom w:val="single" w:sz="4" w:space="1" w:color="auto"/>
        </w:pBdr>
        <w:jc w:val="both"/>
        <w:rPr>
          <w:rFonts w:ascii="Times New Roman" w:hAnsi="Times New Roman" w:cs="Times New Roman"/>
          <w:b/>
          <w:bCs/>
          <w:sz w:val="26"/>
          <w:szCs w:val="26"/>
        </w:rPr>
      </w:pPr>
    </w:p>
    <w:p w:rsidR="00805287" w:rsidRDefault="00805287" w:rsidP="00805287">
      <w:pPr>
        <w:pBdr>
          <w:bottom w:val="single" w:sz="4" w:space="1" w:color="auto"/>
        </w:pBdr>
        <w:jc w:val="both"/>
        <w:rPr>
          <w:rFonts w:ascii="Times New Roman" w:hAnsi="Times New Roman" w:cs="Times New Roman"/>
          <w:b/>
          <w:sz w:val="26"/>
          <w:szCs w:val="26"/>
        </w:rPr>
      </w:pPr>
      <w:hyperlink r:id="rId16" w:anchor="ethiopia" w:history="1">
        <w:proofErr w:type="spellStart"/>
        <w:r w:rsidRPr="002848E9">
          <w:rPr>
            <w:rFonts w:ascii="Times New Roman" w:hAnsi="Times New Roman" w:cs="Times New Roman"/>
            <w:b/>
            <w:sz w:val="26"/>
            <w:szCs w:val="26"/>
          </w:rPr>
          <w:t>Etiopia</w:t>
        </w:r>
      </w:hyperlink>
      <w:proofErr w:type="spellEnd"/>
    </w:p>
    <w:p w:rsidR="00B367FF" w:rsidRDefault="00805287" w:rsidP="00805287">
      <w:pPr>
        <w:jc w:val="both"/>
        <w:rPr>
          <w:rFonts w:ascii="Times New Roman" w:hAnsi="Times New Roman" w:cs="Times New Roman"/>
          <w:sz w:val="26"/>
          <w:szCs w:val="26"/>
        </w:rPr>
      </w:pPr>
      <w:r w:rsidRPr="00805287">
        <w:rPr>
          <w:rFonts w:ascii="Times New Roman" w:hAnsi="Times New Roman" w:cs="Times New Roman"/>
          <w:sz w:val="26"/>
          <w:szCs w:val="26"/>
        </w:rPr>
        <w:t xml:space="preserve">Din februarie 2017, </w:t>
      </w:r>
      <w:r w:rsidR="005E49D6">
        <w:rPr>
          <w:rFonts w:ascii="Times New Roman" w:hAnsi="Times New Roman" w:cs="Times New Roman"/>
          <w:sz w:val="26"/>
          <w:szCs w:val="26"/>
        </w:rPr>
        <w:t xml:space="preserve">atunci </w:t>
      </w:r>
      <w:r w:rsidRPr="00805287">
        <w:rPr>
          <w:rFonts w:ascii="Times New Roman" w:hAnsi="Times New Roman" w:cs="Times New Roman"/>
          <w:sz w:val="26"/>
          <w:szCs w:val="26"/>
        </w:rPr>
        <w:t>când Etiopia a făcut un angajament politic</w:t>
      </w:r>
      <w:r>
        <w:rPr>
          <w:rFonts w:ascii="Times New Roman" w:hAnsi="Times New Roman" w:cs="Times New Roman"/>
          <w:sz w:val="26"/>
          <w:szCs w:val="26"/>
        </w:rPr>
        <w:t>,</w:t>
      </w:r>
      <w:r w:rsidRPr="00805287">
        <w:rPr>
          <w:rFonts w:ascii="Times New Roman" w:hAnsi="Times New Roman" w:cs="Times New Roman"/>
          <w:sz w:val="26"/>
          <w:szCs w:val="26"/>
        </w:rPr>
        <w:t xml:space="preserve"> la nivel înalt</w:t>
      </w:r>
      <w:r>
        <w:rPr>
          <w:rFonts w:ascii="Times New Roman" w:hAnsi="Times New Roman" w:cs="Times New Roman"/>
          <w:sz w:val="26"/>
          <w:szCs w:val="26"/>
        </w:rPr>
        <w:t>,</w:t>
      </w:r>
      <w:r w:rsidRPr="00805287">
        <w:rPr>
          <w:rFonts w:ascii="Times New Roman" w:hAnsi="Times New Roman" w:cs="Times New Roman"/>
          <w:sz w:val="26"/>
          <w:szCs w:val="26"/>
        </w:rPr>
        <w:t xml:space="preserve"> de a colabora cu FATF și ESAAMLG pentru a-și consolida eficacitatea și pentru a aborda orice deficiențe tehnice conexe, Etiopia a întreprins măsuri pentru îmbunătățirea regimului său de CSB/CFT, pentru </w:t>
      </w:r>
      <w:proofErr w:type="spellStart"/>
      <w:r w:rsidRPr="00805287">
        <w:rPr>
          <w:rFonts w:ascii="Times New Roman" w:hAnsi="Times New Roman" w:cs="Times New Roman"/>
          <w:sz w:val="26"/>
          <w:szCs w:val="26"/>
        </w:rPr>
        <w:t>DNFBP-urile</w:t>
      </w:r>
      <w:proofErr w:type="spellEnd"/>
      <w:r w:rsidRPr="00805287">
        <w:rPr>
          <w:rFonts w:ascii="Times New Roman" w:hAnsi="Times New Roman" w:cs="Times New Roman"/>
          <w:sz w:val="26"/>
          <w:szCs w:val="26"/>
        </w:rPr>
        <w:t xml:space="preserve"> sale, organismele de reglementare și organismele de investigare și diseminarea fără întârziere a listelor sancțiunilor ONU entităților obligate. Etiopia ar trebui să continue să depună eforturi pentru punerea în aplicare a planului său de acțiune pentru remedierea deficiențelor sale, inclusiv prin: (1) punerea integrală în aplicare a rezultatelor evaluării naționale a riscurilor; (2) integrarea completă a întreprinderilor și a profesiilor nefinanciare desemnate în regimul său de CSB/CFT; (3) asigurarea confiscării produselor și instrumentelor de criminalitate; (4) punerea în aplicare consecventă a sancțiunilor financiare țintite de terorism și supravegherea proporțională a organizațiilor nonprofit în conformitate cu o abordare bazată pe risc; și (5) stabilirea și punerea în aplicare a sancțiunilor financiare direcționate privind armele de distrugere în masă.</w:t>
      </w:r>
    </w:p>
    <w:p w:rsidR="009A4418" w:rsidRPr="00541D3B" w:rsidRDefault="009A4418" w:rsidP="00F75476">
      <w:pPr>
        <w:pBdr>
          <w:bottom w:val="single" w:sz="4" w:space="1" w:color="auto"/>
        </w:pBdr>
        <w:jc w:val="both"/>
        <w:rPr>
          <w:rFonts w:ascii="Times New Roman" w:hAnsi="Times New Roman" w:cs="Times New Roman"/>
          <w:b/>
          <w:sz w:val="26"/>
          <w:szCs w:val="26"/>
        </w:rPr>
      </w:pPr>
      <w:r w:rsidRPr="00541D3B">
        <w:rPr>
          <w:rFonts w:ascii="Times New Roman" w:hAnsi="Times New Roman" w:cs="Times New Roman"/>
          <w:b/>
          <w:sz w:val="26"/>
          <w:szCs w:val="26"/>
        </w:rPr>
        <w:t>Irak</w:t>
      </w:r>
    </w:p>
    <w:p w:rsidR="00034876" w:rsidRDefault="00034876" w:rsidP="0029554F">
      <w:pPr>
        <w:jc w:val="both"/>
        <w:rPr>
          <w:rFonts w:ascii="Times New Roman" w:hAnsi="Times New Roman" w:cs="Times New Roman"/>
          <w:sz w:val="26"/>
          <w:szCs w:val="26"/>
        </w:rPr>
      </w:pPr>
      <w:r w:rsidRPr="00034876">
        <w:rPr>
          <w:rFonts w:ascii="Times New Roman" w:hAnsi="Times New Roman" w:cs="Times New Roman"/>
          <w:sz w:val="26"/>
          <w:szCs w:val="26"/>
        </w:rPr>
        <w:t xml:space="preserve">Începând cu octombrie 2013, </w:t>
      </w:r>
      <w:r w:rsidR="005E49D6">
        <w:rPr>
          <w:rFonts w:ascii="Times New Roman" w:hAnsi="Times New Roman" w:cs="Times New Roman"/>
          <w:sz w:val="26"/>
          <w:szCs w:val="26"/>
        </w:rPr>
        <w:t xml:space="preserve">atunci </w:t>
      </w:r>
      <w:r>
        <w:rPr>
          <w:rFonts w:ascii="Times New Roman" w:hAnsi="Times New Roman" w:cs="Times New Roman"/>
          <w:sz w:val="26"/>
          <w:szCs w:val="26"/>
        </w:rPr>
        <w:t xml:space="preserve">când </w:t>
      </w:r>
      <w:r w:rsidRPr="00034876">
        <w:rPr>
          <w:rFonts w:ascii="Times New Roman" w:hAnsi="Times New Roman" w:cs="Times New Roman"/>
          <w:sz w:val="26"/>
          <w:szCs w:val="26"/>
        </w:rPr>
        <w:t xml:space="preserve">Irakul a </w:t>
      </w:r>
      <w:r>
        <w:rPr>
          <w:rFonts w:ascii="Times New Roman" w:hAnsi="Times New Roman" w:cs="Times New Roman"/>
          <w:sz w:val="26"/>
          <w:szCs w:val="26"/>
        </w:rPr>
        <w:t>prezentat</w:t>
      </w:r>
      <w:r w:rsidRPr="00034876">
        <w:rPr>
          <w:rFonts w:ascii="Times New Roman" w:hAnsi="Times New Roman" w:cs="Times New Roman"/>
          <w:sz w:val="26"/>
          <w:szCs w:val="26"/>
        </w:rPr>
        <w:t xml:space="preserve"> un angajament politic</w:t>
      </w:r>
      <w:r>
        <w:rPr>
          <w:rFonts w:ascii="Times New Roman" w:hAnsi="Times New Roman" w:cs="Times New Roman"/>
          <w:sz w:val="26"/>
          <w:szCs w:val="26"/>
        </w:rPr>
        <w:t>,</w:t>
      </w:r>
      <w:r w:rsidRPr="00034876">
        <w:rPr>
          <w:rFonts w:ascii="Times New Roman" w:hAnsi="Times New Roman" w:cs="Times New Roman"/>
          <w:sz w:val="26"/>
          <w:szCs w:val="26"/>
        </w:rPr>
        <w:t xml:space="preserve"> la nivel înalt</w:t>
      </w:r>
      <w:r>
        <w:rPr>
          <w:rFonts w:ascii="Times New Roman" w:hAnsi="Times New Roman" w:cs="Times New Roman"/>
          <w:sz w:val="26"/>
          <w:szCs w:val="26"/>
        </w:rPr>
        <w:t>,</w:t>
      </w:r>
      <w:r w:rsidRPr="00034876">
        <w:rPr>
          <w:rFonts w:ascii="Times New Roman" w:hAnsi="Times New Roman" w:cs="Times New Roman"/>
          <w:sz w:val="26"/>
          <w:szCs w:val="26"/>
        </w:rPr>
        <w:t xml:space="preserve"> de colabora</w:t>
      </w:r>
      <w:r>
        <w:rPr>
          <w:rFonts w:ascii="Times New Roman" w:hAnsi="Times New Roman" w:cs="Times New Roman"/>
          <w:sz w:val="26"/>
          <w:szCs w:val="26"/>
        </w:rPr>
        <w:t>re</w:t>
      </w:r>
      <w:r w:rsidRPr="00034876">
        <w:rPr>
          <w:rFonts w:ascii="Times New Roman" w:hAnsi="Times New Roman" w:cs="Times New Roman"/>
          <w:sz w:val="26"/>
          <w:szCs w:val="26"/>
        </w:rPr>
        <w:t xml:space="preserve"> cu FATF și MENAFATF pentru a aborda deficiențele strategice ale CSB/CFT, Irakul a abordat în mod substanțial planul său de acțiune la nivel tehnic, inclusiv prin: (1) spălarea banilor și finanțarea terorismului; (2) stabilirea unui cadru juridic adecvat pentru identificarea, urmărirea și înghețarea activelor teroriste; (3) stabilirea unor măsuri eficiente de diligență a clienților; (4) crearea unei unități de informații financiare funcționale și funcționale; (5) stabilirea unor cerințe adecvate de raportare a tranzacțiilor suspecte; și (6) stabilirea unui program adecvat de sup</w:t>
      </w:r>
      <w:r>
        <w:rPr>
          <w:rFonts w:ascii="Times New Roman" w:hAnsi="Times New Roman" w:cs="Times New Roman"/>
          <w:sz w:val="26"/>
          <w:szCs w:val="26"/>
        </w:rPr>
        <w:t>raveghere și supraveghere a regimului de CSB</w:t>
      </w:r>
      <w:r w:rsidRPr="00034876">
        <w:rPr>
          <w:rFonts w:ascii="Times New Roman" w:hAnsi="Times New Roman" w:cs="Times New Roman"/>
          <w:sz w:val="26"/>
          <w:szCs w:val="26"/>
        </w:rPr>
        <w:t>/CFT pentru sectorul financiar. FATF va efectua o vizită la fața locului pentru a confirma că implementarea acestor reforme a început și este susținută.</w:t>
      </w:r>
    </w:p>
    <w:p w:rsidR="005023BF" w:rsidRDefault="00034876" w:rsidP="00D94CDD">
      <w:pPr>
        <w:pBdr>
          <w:bottom w:val="single" w:sz="4" w:space="1" w:color="auto"/>
        </w:pBdr>
        <w:jc w:val="both"/>
        <w:rPr>
          <w:rFonts w:ascii="Times New Roman" w:hAnsi="Times New Roman" w:cs="Times New Roman"/>
          <w:b/>
          <w:sz w:val="26"/>
          <w:szCs w:val="26"/>
        </w:rPr>
      </w:pPr>
      <w:r>
        <w:rPr>
          <w:rFonts w:ascii="Times New Roman" w:hAnsi="Times New Roman" w:cs="Times New Roman"/>
          <w:b/>
          <w:sz w:val="26"/>
          <w:szCs w:val="26"/>
        </w:rPr>
        <w:t xml:space="preserve">Serbia </w:t>
      </w:r>
    </w:p>
    <w:p w:rsidR="00034876" w:rsidRDefault="00034876" w:rsidP="008B558C">
      <w:pPr>
        <w:jc w:val="both"/>
        <w:rPr>
          <w:rFonts w:ascii="Times New Roman" w:hAnsi="Times New Roman" w:cs="Times New Roman"/>
          <w:sz w:val="26"/>
          <w:szCs w:val="26"/>
        </w:rPr>
      </w:pPr>
      <w:r w:rsidRPr="00034876">
        <w:rPr>
          <w:rFonts w:ascii="Times New Roman" w:hAnsi="Times New Roman" w:cs="Times New Roman"/>
          <w:sz w:val="26"/>
          <w:szCs w:val="26"/>
        </w:rPr>
        <w:t xml:space="preserve">În februarie 2018, </w:t>
      </w:r>
      <w:r w:rsidR="005E49D6">
        <w:rPr>
          <w:rFonts w:ascii="Times New Roman" w:hAnsi="Times New Roman" w:cs="Times New Roman"/>
          <w:sz w:val="26"/>
          <w:szCs w:val="26"/>
        </w:rPr>
        <w:t xml:space="preserve">atunci când </w:t>
      </w:r>
      <w:r w:rsidRPr="00034876">
        <w:rPr>
          <w:rFonts w:ascii="Times New Roman" w:hAnsi="Times New Roman" w:cs="Times New Roman"/>
          <w:sz w:val="26"/>
          <w:szCs w:val="26"/>
        </w:rPr>
        <w:t xml:space="preserve">Serbia a </w:t>
      </w:r>
      <w:r>
        <w:rPr>
          <w:rFonts w:ascii="Times New Roman" w:hAnsi="Times New Roman" w:cs="Times New Roman"/>
          <w:sz w:val="26"/>
          <w:szCs w:val="26"/>
        </w:rPr>
        <w:t>prezentat</w:t>
      </w:r>
      <w:r w:rsidRPr="00034876">
        <w:rPr>
          <w:rFonts w:ascii="Times New Roman" w:hAnsi="Times New Roman" w:cs="Times New Roman"/>
          <w:sz w:val="26"/>
          <w:szCs w:val="26"/>
        </w:rPr>
        <w:t xml:space="preserve"> un angajament politic la nivel înalt de a colabora cu FATF și MONEYVAL pentru a consolida eficacitatea regimului </w:t>
      </w:r>
      <w:r>
        <w:rPr>
          <w:rFonts w:ascii="Times New Roman" w:hAnsi="Times New Roman" w:cs="Times New Roman"/>
          <w:sz w:val="26"/>
          <w:szCs w:val="26"/>
        </w:rPr>
        <w:t xml:space="preserve">de </w:t>
      </w:r>
      <w:r w:rsidRPr="00034876">
        <w:rPr>
          <w:rFonts w:ascii="Times New Roman" w:hAnsi="Times New Roman" w:cs="Times New Roman"/>
          <w:sz w:val="26"/>
          <w:szCs w:val="26"/>
        </w:rPr>
        <w:t xml:space="preserve">CSB/CFT și a aborda orice deficiențe tehnice conexe. Serbia va depune eforturi pentru a-și pune în aplicare planul de acțiune pentru îndeplinirea acestor obiective, inclusiv prin: (1) actualizarea ANR pentru a înțelege mai bine riscurile cheie; (2) supunerea avocaților, notarilor și cazinourilor la supraveghere; punerea în aplicare a supravegherii CSB/CFT bazate pe riscuri și creșterea numărului de resurse de personal de supraveghere proporționale cu riscurile sectoriale; (3) măsuri de punere în aplicare a CDD, a persoanelor expuse politic și a transferurilor bancare în conformitate cu standardele FATF; (4) stabilirea unui mecanism eficient pentru asigurarea accesului în </w:t>
      </w:r>
      <w:r w:rsidRPr="00034876">
        <w:rPr>
          <w:rFonts w:ascii="Times New Roman" w:hAnsi="Times New Roman" w:cs="Times New Roman"/>
          <w:sz w:val="26"/>
          <w:szCs w:val="26"/>
        </w:rPr>
        <w:lastRenderedPageBreak/>
        <w:t>timp util la informații privind proprietatea beneficiară cu privire la persoanele juridice și un cadru care să asigure că aceste informații sunt adecvate, exacte și actuale; (5) asigurarea unei investigații adecvate și eficiente și urmăririi penale a contrapartidei terțe și a celor independente; (6) asigurarea punerii în aplicare fără întârziere a unor măsuri de sancțiuni financiare specifice cu privire la finanțarea terorismului, furnizarea de orientări entităților raportoare și luarea măsurilor proporționale pentru organizațiile fără scop lucrativ în conformitate cu o abordare bazată pe riscuri; și (7) asigurarea punerii în aplicare fără întârziere a unor sancțiuni financiare orientate legate de finanțarea proliferării.</w:t>
      </w:r>
    </w:p>
    <w:p w:rsidR="00181F26" w:rsidRPr="00181F26" w:rsidRDefault="005E49D6" w:rsidP="00D94CDD">
      <w:pPr>
        <w:pBdr>
          <w:bottom w:val="single" w:sz="4" w:space="1" w:color="auto"/>
        </w:pBdr>
        <w:jc w:val="both"/>
        <w:rPr>
          <w:rFonts w:ascii="Times New Roman" w:hAnsi="Times New Roman" w:cs="Times New Roman"/>
          <w:b/>
          <w:bCs/>
          <w:sz w:val="26"/>
          <w:szCs w:val="26"/>
        </w:rPr>
      </w:pPr>
      <w:r>
        <w:rPr>
          <w:rFonts w:ascii="Times New Roman" w:hAnsi="Times New Roman" w:cs="Times New Roman"/>
          <w:b/>
          <w:bCs/>
          <w:sz w:val="26"/>
          <w:szCs w:val="26"/>
        </w:rPr>
        <w:t>Sri Lanka</w:t>
      </w:r>
    </w:p>
    <w:p w:rsidR="005E49D6" w:rsidRDefault="005E49D6" w:rsidP="00D94CDD">
      <w:pPr>
        <w:jc w:val="both"/>
        <w:rPr>
          <w:rFonts w:ascii="Times New Roman" w:hAnsi="Times New Roman" w:cs="Times New Roman"/>
          <w:sz w:val="26"/>
          <w:szCs w:val="26"/>
        </w:rPr>
      </w:pPr>
      <w:r w:rsidRPr="005E49D6">
        <w:rPr>
          <w:rFonts w:ascii="Times New Roman" w:hAnsi="Times New Roman" w:cs="Times New Roman"/>
          <w:sz w:val="26"/>
          <w:szCs w:val="26"/>
        </w:rPr>
        <w:t xml:space="preserve">Din noiembrie 2017, </w:t>
      </w:r>
      <w:r>
        <w:rPr>
          <w:rFonts w:ascii="Times New Roman" w:hAnsi="Times New Roman" w:cs="Times New Roman"/>
          <w:sz w:val="26"/>
          <w:szCs w:val="26"/>
        </w:rPr>
        <w:t xml:space="preserve">atunci </w:t>
      </w:r>
      <w:r w:rsidRPr="005E49D6">
        <w:rPr>
          <w:rFonts w:ascii="Times New Roman" w:hAnsi="Times New Roman" w:cs="Times New Roman"/>
          <w:sz w:val="26"/>
          <w:szCs w:val="26"/>
        </w:rPr>
        <w:t xml:space="preserve">când Sri Lanka a </w:t>
      </w:r>
      <w:r>
        <w:rPr>
          <w:rFonts w:ascii="Times New Roman" w:hAnsi="Times New Roman" w:cs="Times New Roman"/>
          <w:sz w:val="26"/>
          <w:szCs w:val="26"/>
        </w:rPr>
        <w:t>prezentat</w:t>
      </w:r>
      <w:r w:rsidRPr="005E49D6">
        <w:rPr>
          <w:rFonts w:ascii="Times New Roman" w:hAnsi="Times New Roman" w:cs="Times New Roman"/>
          <w:sz w:val="26"/>
          <w:szCs w:val="26"/>
        </w:rPr>
        <w:t xml:space="preserve"> un angajament politic</w:t>
      </w:r>
      <w:r>
        <w:rPr>
          <w:rFonts w:ascii="Times New Roman" w:hAnsi="Times New Roman" w:cs="Times New Roman"/>
          <w:sz w:val="26"/>
          <w:szCs w:val="26"/>
        </w:rPr>
        <w:t>,</w:t>
      </w:r>
      <w:r w:rsidRPr="005E49D6">
        <w:rPr>
          <w:rFonts w:ascii="Times New Roman" w:hAnsi="Times New Roman" w:cs="Times New Roman"/>
          <w:sz w:val="26"/>
          <w:szCs w:val="26"/>
        </w:rPr>
        <w:t xml:space="preserve"> la nivel înalt</w:t>
      </w:r>
      <w:r>
        <w:rPr>
          <w:rFonts w:ascii="Times New Roman" w:hAnsi="Times New Roman" w:cs="Times New Roman"/>
          <w:sz w:val="26"/>
          <w:szCs w:val="26"/>
        </w:rPr>
        <w:t>,</w:t>
      </w:r>
      <w:r w:rsidRPr="005E49D6">
        <w:rPr>
          <w:rFonts w:ascii="Times New Roman" w:hAnsi="Times New Roman" w:cs="Times New Roman"/>
          <w:sz w:val="26"/>
          <w:szCs w:val="26"/>
        </w:rPr>
        <w:t xml:space="preserve"> de a colabora cu FATF și APG pentru a consolida eficacitatea regimului </w:t>
      </w:r>
      <w:r>
        <w:rPr>
          <w:rFonts w:ascii="Times New Roman" w:hAnsi="Times New Roman" w:cs="Times New Roman"/>
          <w:sz w:val="26"/>
          <w:szCs w:val="26"/>
        </w:rPr>
        <w:t xml:space="preserve">de </w:t>
      </w:r>
      <w:r w:rsidRPr="005E49D6">
        <w:rPr>
          <w:rFonts w:ascii="Times New Roman" w:hAnsi="Times New Roman" w:cs="Times New Roman"/>
          <w:sz w:val="26"/>
          <w:szCs w:val="26"/>
        </w:rPr>
        <w:t xml:space="preserve">CSB/CFT și pentru a aborda orice deficiențe tehnice conexe, Sri Lanka a luat măsuri pentru îmbunătățirea regimului </w:t>
      </w:r>
      <w:r>
        <w:rPr>
          <w:rFonts w:ascii="Times New Roman" w:hAnsi="Times New Roman" w:cs="Times New Roman"/>
          <w:sz w:val="26"/>
          <w:szCs w:val="26"/>
        </w:rPr>
        <w:t xml:space="preserve">de </w:t>
      </w:r>
      <w:r w:rsidRPr="005E49D6">
        <w:rPr>
          <w:rFonts w:ascii="Times New Roman" w:hAnsi="Times New Roman" w:cs="Times New Roman"/>
          <w:sz w:val="26"/>
          <w:szCs w:val="26"/>
        </w:rPr>
        <w:t>CSB/CFT, inclusiv prin emiterea de reguli CDD pentru DNFBP. Sri Lanka ar trebui să continue să depună eforturi pentru punerea în aplicare a planului său de acțiune pentru remedierea deficiențelor sale, inclusiv prin: (1) adoptarea de amendamente la MACMA pentru a se asigura că asistența juridică reciprocă poate fi acordată pe baza reciprocității; (2) emiterea oricăror îndrumări necesare și asigurarea punerii în aplicare a normelor CDD, prin acțiuni de supraveghere; (3) consolidarea supravegherii bazate pe riscuri și a informării cu privire la IF și DNFBP cu grad ridicat de risc, inclusiv prin măsuri de sancționare rapide și cu efect de descurajare, după caz; (4) furnizarea de studii de caz și de statistici care să demonstreze că autoritățile competente pot obține în timp util informații cu privire la proprietatea beneficiară în legătură cu persoanele juridice; (5) emiterea unei revizuiri de încredere și demonstrarea faptului că implementarea a început; și (6) stabilirea unui regim TFS pentru punerea în aplicare a rezoluțiilor relevante ale Consiliului de Securitate al ONU privind Iranul și demonstrarea aplicării eficiente a acestuia și a Regulamentului ONU privind RPDC.</w:t>
      </w:r>
    </w:p>
    <w:p w:rsidR="005E49D6" w:rsidRPr="005E49D6" w:rsidRDefault="005E49D6" w:rsidP="005E49D6">
      <w:pPr>
        <w:pBdr>
          <w:bottom w:val="single" w:sz="4" w:space="1" w:color="auto"/>
        </w:pBdr>
        <w:jc w:val="both"/>
        <w:rPr>
          <w:rFonts w:ascii="Times New Roman" w:hAnsi="Times New Roman" w:cs="Times New Roman"/>
          <w:b/>
          <w:sz w:val="26"/>
          <w:szCs w:val="26"/>
        </w:rPr>
      </w:pPr>
      <w:r>
        <w:rPr>
          <w:rFonts w:ascii="Times New Roman" w:hAnsi="Times New Roman" w:cs="Times New Roman"/>
          <w:b/>
          <w:sz w:val="26"/>
          <w:szCs w:val="26"/>
        </w:rPr>
        <w:t>Siria</w:t>
      </w:r>
    </w:p>
    <w:p w:rsidR="001D1BA6" w:rsidRDefault="00181F26" w:rsidP="00D94CDD">
      <w:pPr>
        <w:jc w:val="both"/>
        <w:rPr>
          <w:rFonts w:ascii="Times New Roman" w:hAnsi="Times New Roman" w:cs="Times New Roman"/>
          <w:sz w:val="26"/>
          <w:szCs w:val="26"/>
        </w:rPr>
      </w:pPr>
      <w:r>
        <w:rPr>
          <w:rFonts w:ascii="Times New Roman" w:hAnsi="Times New Roman" w:cs="Times New Roman"/>
          <w:sz w:val="26"/>
          <w:szCs w:val="26"/>
        </w:rPr>
        <w:t xml:space="preserve">Din februarie 2010, atunci când Siria </w:t>
      </w:r>
      <w:r w:rsidR="00D824B9" w:rsidRPr="00862827">
        <w:rPr>
          <w:rFonts w:ascii="Times New Roman" w:hAnsi="Times New Roman" w:cs="Times New Roman"/>
          <w:sz w:val="26"/>
          <w:szCs w:val="26"/>
        </w:rPr>
        <w:t>a prezentat un angajament politic, la nivel înalt, de cooperare</w:t>
      </w:r>
      <w:r w:rsidR="00D824B9" w:rsidRPr="00541D3B">
        <w:rPr>
          <w:rFonts w:ascii="Times New Roman" w:hAnsi="Times New Roman" w:cs="Times New Roman"/>
          <w:sz w:val="26"/>
          <w:szCs w:val="26"/>
        </w:rPr>
        <w:t xml:space="preserve"> </w:t>
      </w:r>
      <w:r w:rsidRPr="00541D3B">
        <w:rPr>
          <w:rFonts w:ascii="Times New Roman" w:hAnsi="Times New Roman" w:cs="Times New Roman"/>
          <w:sz w:val="26"/>
          <w:szCs w:val="26"/>
        </w:rPr>
        <w:t>cu FATF</w:t>
      </w:r>
      <w:r>
        <w:rPr>
          <w:rFonts w:ascii="Times New Roman" w:hAnsi="Times New Roman" w:cs="Times New Roman"/>
          <w:sz w:val="26"/>
          <w:szCs w:val="26"/>
        </w:rPr>
        <w:t xml:space="preserve"> și MENAFATF </w:t>
      </w:r>
      <w:r w:rsidRPr="00541D3B">
        <w:rPr>
          <w:rFonts w:ascii="Times New Roman" w:hAnsi="Times New Roman" w:cs="Times New Roman"/>
          <w:sz w:val="26"/>
          <w:szCs w:val="26"/>
        </w:rPr>
        <w:t>în scopul remedierii deficiențelor strategice ale regimului său de CSB/CFT</w:t>
      </w:r>
      <w:r>
        <w:rPr>
          <w:rFonts w:ascii="Times New Roman" w:hAnsi="Times New Roman" w:cs="Times New Roman"/>
          <w:sz w:val="26"/>
          <w:szCs w:val="26"/>
        </w:rPr>
        <w:t xml:space="preserve">, </w:t>
      </w:r>
      <w:r w:rsidR="00392685">
        <w:rPr>
          <w:rFonts w:ascii="Times New Roman" w:hAnsi="Times New Roman" w:cs="Times New Roman"/>
          <w:sz w:val="26"/>
          <w:szCs w:val="26"/>
        </w:rPr>
        <w:t>Siria</w:t>
      </w:r>
      <w:r w:rsidR="00401A74">
        <w:rPr>
          <w:rFonts w:ascii="Times New Roman" w:hAnsi="Times New Roman" w:cs="Times New Roman"/>
          <w:sz w:val="26"/>
          <w:szCs w:val="26"/>
        </w:rPr>
        <w:t xml:space="preserve"> </w:t>
      </w:r>
      <w:r>
        <w:rPr>
          <w:rFonts w:ascii="Times New Roman" w:hAnsi="Times New Roman" w:cs="Times New Roman"/>
          <w:sz w:val="26"/>
          <w:szCs w:val="26"/>
        </w:rPr>
        <w:t xml:space="preserve">a realizat progrese pentru îmbunătățirea regimului său de CSB/CFT. </w:t>
      </w:r>
      <w:r w:rsidR="009E3668">
        <w:rPr>
          <w:rFonts w:ascii="Times New Roman" w:hAnsi="Times New Roman" w:cs="Times New Roman"/>
          <w:sz w:val="26"/>
          <w:szCs w:val="26"/>
        </w:rPr>
        <w:t xml:space="preserve">În luna iunie 2014, </w:t>
      </w:r>
      <w:r>
        <w:rPr>
          <w:rFonts w:ascii="Times New Roman" w:hAnsi="Times New Roman" w:cs="Times New Roman"/>
          <w:sz w:val="26"/>
          <w:szCs w:val="26"/>
        </w:rPr>
        <w:t xml:space="preserve">Siria </w:t>
      </w:r>
      <w:r w:rsidRPr="00B95064">
        <w:rPr>
          <w:rFonts w:ascii="Times New Roman" w:hAnsi="Times New Roman" w:cs="Times New Roman"/>
          <w:sz w:val="26"/>
          <w:szCs w:val="26"/>
        </w:rPr>
        <w:t>a abordat în mod substanțial planul său de acțiune</w:t>
      </w:r>
      <w:r>
        <w:rPr>
          <w:rFonts w:ascii="Times New Roman" w:hAnsi="Times New Roman" w:cs="Times New Roman"/>
          <w:sz w:val="26"/>
          <w:szCs w:val="26"/>
        </w:rPr>
        <w:t xml:space="preserve"> la nivel tehnic, inclusiv prin </w:t>
      </w:r>
      <w:r w:rsidR="001D1BA6">
        <w:rPr>
          <w:rFonts w:ascii="Times New Roman" w:hAnsi="Times New Roman" w:cs="Times New Roman"/>
          <w:sz w:val="26"/>
          <w:szCs w:val="26"/>
        </w:rPr>
        <w:t xml:space="preserve">incriminarea finanțării terorismului și stabilirea procedurilor de înghețare a activelor teroriștilor. În timp ce FATF a stabilit că Siria a finalizat planul de acțiune convenit cu FATF, din cauza situației </w:t>
      </w:r>
      <w:r w:rsidR="00401A74">
        <w:rPr>
          <w:rFonts w:ascii="Times New Roman" w:hAnsi="Times New Roman" w:cs="Times New Roman"/>
          <w:sz w:val="26"/>
          <w:szCs w:val="26"/>
        </w:rPr>
        <w:t>securității,</w:t>
      </w:r>
      <w:r w:rsidR="001D1BA6">
        <w:rPr>
          <w:rFonts w:ascii="Times New Roman" w:hAnsi="Times New Roman" w:cs="Times New Roman"/>
          <w:sz w:val="26"/>
          <w:szCs w:val="26"/>
        </w:rPr>
        <w:t xml:space="preserve"> FATF este în imposibilitatea de a face o vizită la fața locului pentru a</w:t>
      </w:r>
      <w:r>
        <w:rPr>
          <w:rFonts w:ascii="Times New Roman" w:hAnsi="Times New Roman" w:cs="Times New Roman"/>
          <w:sz w:val="26"/>
          <w:szCs w:val="26"/>
        </w:rPr>
        <w:t xml:space="preserve"> </w:t>
      </w:r>
      <w:r w:rsidR="001D1BA6" w:rsidRPr="00541D3B">
        <w:rPr>
          <w:rFonts w:ascii="Times New Roman" w:hAnsi="Times New Roman" w:cs="Times New Roman"/>
          <w:sz w:val="26"/>
          <w:szCs w:val="26"/>
        </w:rPr>
        <w:t xml:space="preserve">confirma că </w:t>
      </w:r>
      <w:r w:rsidR="00401A74">
        <w:rPr>
          <w:rFonts w:ascii="Times New Roman" w:hAnsi="Times New Roman" w:cs="Times New Roman"/>
          <w:sz w:val="26"/>
          <w:szCs w:val="26"/>
        </w:rPr>
        <w:t xml:space="preserve">se continuă </w:t>
      </w:r>
      <w:r w:rsidR="001D1BA6" w:rsidRPr="00541D3B">
        <w:rPr>
          <w:rFonts w:ascii="Times New Roman" w:hAnsi="Times New Roman" w:cs="Times New Roman"/>
          <w:sz w:val="26"/>
          <w:szCs w:val="26"/>
        </w:rPr>
        <w:t xml:space="preserve">procesul de implementare a reformelor și </w:t>
      </w:r>
      <w:r w:rsidR="00401A74">
        <w:rPr>
          <w:rFonts w:ascii="Times New Roman" w:hAnsi="Times New Roman" w:cs="Times New Roman"/>
          <w:sz w:val="26"/>
          <w:szCs w:val="26"/>
        </w:rPr>
        <w:t xml:space="preserve">că </w:t>
      </w:r>
      <w:r w:rsidR="00395DDB">
        <w:rPr>
          <w:rFonts w:ascii="Times New Roman" w:hAnsi="Times New Roman" w:cs="Times New Roman"/>
          <w:sz w:val="26"/>
          <w:szCs w:val="26"/>
        </w:rPr>
        <w:t xml:space="preserve">sunt în curs </w:t>
      </w:r>
      <w:r w:rsidR="001D1BA6" w:rsidRPr="00541D3B">
        <w:rPr>
          <w:rFonts w:ascii="Times New Roman" w:hAnsi="Times New Roman" w:cs="Times New Roman"/>
          <w:sz w:val="26"/>
          <w:szCs w:val="26"/>
        </w:rPr>
        <w:t xml:space="preserve">acțiuni necesare </w:t>
      </w:r>
      <w:r w:rsidR="00401A74">
        <w:rPr>
          <w:rFonts w:ascii="Times New Roman" w:hAnsi="Times New Roman" w:cs="Times New Roman"/>
          <w:sz w:val="26"/>
          <w:szCs w:val="26"/>
        </w:rPr>
        <w:t>pentru</w:t>
      </w:r>
      <w:r w:rsidR="001D1BA6" w:rsidRPr="00541D3B">
        <w:rPr>
          <w:rFonts w:ascii="Times New Roman" w:hAnsi="Times New Roman" w:cs="Times New Roman"/>
          <w:sz w:val="26"/>
          <w:szCs w:val="26"/>
        </w:rPr>
        <w:t xml:space="preserve"> a </w:t>
      </w:r>
      <w:r w:rsidR="001D1BA6" w:rsidRPr="00541D3B">
        <w:rPr>
          <w:rFonts w:ascii="Times New Roman" w:hAnsi="Times New Roman" w:cs="Times New Roman"/>
          <w:sz w:val="26"/>
          <w:szCs w:val="26"/>
        </w:rPr>
        <w:lastRenderedPageBreak/>
        <w:t>remedia deficiențele identificate anterior de FATF.</w:t>
      </w:r>
      <w:r w:rsidR="001D1BA6">
        <w:rPr>
          <w:rFonts w:ascii="Times New Roman" w:hAnsi="Times New Roman" w:cs="Times New Roman"/>
          <w:sz w:val="26"/>
          <w:szCs w:val="26"/>
        </w:rPr>
        <w:t xml:space="preserve"> FATF va continua să monitorizeze această situație</w:t>
      </w:r>
      <w:r w:rsidR="00392685">
        <w:rPr>
          <w:rFonts w:ascii="Times New Roman" w:hAnsi="Times New Roman" w:cs="Times New Roman"/>
          <w:sz w:val="26"/>
          <w:szCs w:val="26"/>
        </w:rPr>
        <w:t xml:space="preserve"> </w:t>
      </w:r>
      <w:r w:rsidR="00F74161">
        <w:rPr>
          <w:rFonts w:ascii="Times New Roman" w:hAnsi="Times New Roman" w:cs="Times New Roman"/>
          <w:sz w:val="26"/>
          <w:szCs w:val="26"/>
        </w:rPr>
        <w:t>și va face o vizită la fața locului cât mai curând posibil.</w:t>
      </w:r>
    </w:p>
    <w:p w:rsidR="003E3D94" w:rsidRPr="003E3D94" w:rsidRDefault="002E6198" w:rsidP="00EF7013">
      <w:pPr>
        <w:pBdr>
          <w:bottom w:val="single" w:sz="4" w:space="1" w:color="auto"/>
        </w:pBdr>
        <w:jc w:val="both"/>
        <w:rPr>
          <w:rFonts w:ascii="Times New Roman" w:hAnsi="Times New Roman" w:cs="Times New Roman"/>
          <w:b/>
          <w:sz w:val="26"/>
          <w:szCs w:val="26"/>
        </w:rPr>
      </w:pPr>
      <w:r>
        <w:rPr>
          <w:rFonts w:ascii="Times New Roman" w:hAnsi="Times New Roman" w:cs="Times New Roman"/>
          <w:b/>
          <w:sz w:val="26"/>
          <w:szCs w:val="26"/>
        </w:rPr>
        <w:t>Trinidad și Tobago</w:t>
      </w:r>
    </w:p>
    <w:p w:rsidR="002E6198" w:rsidRDefault="003E3D94" w:rsidP="002E6198">
      <w:pPr>
        <w:jc w:val="both"/>
        <w:rPr>
          <w:rFonts w:ascii="Times New Roman" w:hAnsi="Times New Roman" w:cs="Times New Roman"/>
          <w:sz w:val="26"/>
          <w:szCs w:val="26"/>
        </w:rPr>
      </w:pPr>
      <w:r>
        <w:rPr>
          <w:rFonts w:ascii="Times New Roman" w:hAnsi="Times New Roman" w:cs="Times New Roman"/>
          <w:sz w:val="26"/>
          <w:szCs w:val="26"/>
        </w:rPr>
        <w:t xml:space="preserve">În februarie 2014, </w:t>
      </w:r>
      <w:r w:rsidR="002E6198">
        <w:rPr>
          <w:rFonts w:ascii="Times New Roman" w:hAnsi="Times New Roman" w:cs="Times New Roman"/>
          <w:sz w:val="26"/>
          <w:szCs w:val="26"/>
        </w:rPr>
        <w:t>atunci când Trinidad și Tobago</w:t>
      </w:r>
      <w:r>
        <w:rPr>
          <w:rFonts w:ascii="Times New Roman" w:hAnsi="Times New Roman" w:cs="Times New Roman"/>
          <w:sz w:val="26"/>
          <w:szCs w:val="26"/>
        </w:rPr>
        <w:t xml:space="preserve"> </w:t>
      </w:r>
      <w:r w:rsidR="00D824B9" w:rsidRPr="00862827">
        <w:rPr>
          <w:rFonts w:ascii="Times New Roman" w:hAnsi="Times New Roman" w:cs="Times New Roman"/>
          <w:sz w:val="26"/>
          <w:szCs w:val="26"/>
        </w:rPr>
        <w:t>a prezentat un angajament politic, la nivel înalt, de cooperare</w:t>
      </w:r>
      <w:r w:rsidR="00D824B9" w:rsidRPr="00541D3B">
        <w:rPr>
          <w:rFonts w:ascii="Times New Roman" w:hAnsi="Times New Roman" w:cs="Times New Roman"/>
          <w:sz w:val="26"/>
          <w:szCs w:val="26"/>
        </w:rPr>
        <w:t xml:space="preserve"> </w:t>
      </w:r>
      <w:r w:rsidRPr="00541D3B">
        <w:rPr>
          <w:rFonts w:ascii="Times New Roman" w:hAnsi="Times New Roman" w:cs="Times New Roman"/>
          <w:sz w:val="26"/>
          <w:szCs w:val="26"/>
        </w:rPr>
        <w:t>cu FATF</w:t>
      </w:r>
      <w:r>
        <w:rPr>
          <w:rFonts w:ascii="Times New Roman" w:hAnsi="Times New Roman" w:cs="Times New Roman"/>
          <w:sz w:val="26"/>
          <w:szCs w:val="26"/>
        </w:rPr>
        <w:t xml:space="preserve"> </w:t>
      </w:r>
      <w:r w:rsidRPr="00541D3B">
        <w:rPr>
          <w:rFonts w:ascii="Times New Roman" w:hAnsi="Times New Roman" w:cs="Times New Roman"/>
          <w:sz w:val="26"/>
          <w:szCs w:val="26"/>
        </w:rPr>
        <w:t>în scopul remedierii deficiențelor stra</w:t>
      </w:r>
      <w:r>
        <w:rPr>
          <w:rFonts w:ascii="Times New Roman" w:hAnsi="Times New Roman" w:cs="Times New Roman"/>
          <w:sz w:val="26"/>
          <w:szCs w:val="26"/>
        </w:rPr>
        <w:t>tegice ale regimului său de CSB/</w:t>
      </w:r>
      <w:r w:rsidRPr="00541D3B">
        <w:rPr>
          <w:rFonts w:ascii="Times New Roman" w:hAnsi="Times New Roman" w:cs="Times New Roman"/>
          <w:sz w:val="26"/>
          <w:szCs w:val="26"/>
        </w:rPr>
        <w:t>CFT</w:t>
      </w:r>
      <w:r w:rsidR="002E6198">
        <w:rPr>
          <w:rFonts w:ascii="Times New Roman" w:hAnsi="Times New Roman" w:cs="Times New Roman"/>
          <w:sz w:val="26"/>
          <w:szCs w:val="26"/>
        </w:rPr>
        <w:t xml:space="preserve">, Trinidad și Tobago a realizat progrese pentru îmbunătățirea regimului său de CSB/CFT, </w:t>
      </w:r>
      <w:r w:rsidR="002E6198" w:rsidRPr="002E6198">
        <w:rPr>
          <w:rFonts w:ascii="Times New Roman" w:hAnsi="Times New Roman" w:cs="Times New Roman"/>
          <w:sz w:val="26"/>
          <w:szCs w:val="26"/>
        </w:rPr>
        <w:t xml:space="preserve">inclusiv aprobarea Strategiei de combatere a terorismului de către Consiliul Național de Securitate, emiterea unei politici privind </w:t>
      </w:r>
      <w:proofErr w:type="spellStart"/>
      <w:r w:rsidR="002E6198" w:rsidRPr="002E6198">
        <w:rPr>
          <w:rFonts w:ascii="Times New Roman" w:hAnsi="Times New Roman" w:cs="Times New Roman"/>
          <w:sz w:val="26"/>
          <w:szCs w:val="26"/>
        </w:rPr>
        <w:t>prioritizarea</w:t>
      </w:r>
      <w:proofErr w:type="spellEnd"/>
      <w:r w:rsidR="002E6198" w:rsidRPr="002E6198">
        <w:rPr>
          <w:rFonts w:ascii="Times New Roman" w:hAnsi="Times New Roman" w:cs="Times New Roman"/>
          <w:sz w:val="26"/>
          <w:szCs w:val="26"/>
        </w:rPr>
        <w:t xml:space="preserve"> cazurilor și promovarea legislației în mai multe domenii.</w:t>
      </w:r>
      <w:r w:rsidR="002E6198">
        <w:rPr>
          <w:rFonts w:ascii="Times New Roman" w:hAnsi="Times New Roman" w:cs="Times New Roman"/>
          <w:sz w:val="26"/>
          <w:szCs w:val="26"/>
        </w:rPr>
        <w:t xml:space="preserve"> Trinidad și Tobago</w:t>
      </w:r>
      <w:r w:rsidR="00263787">
        <w:rPr>
          <w:rFonts w:ascii="Times New Roman" w:hAnsi="Times New Roman" w:cs="Times New Roman"/>
          <w:sz w:val="26"/>
          <w:szCs w:val="26"/>
        </w:rPr>
        <w:t xml:space="preserve"> </w:t>
      </w:r>
      <w:r w:rsidR="008C0C5C" w:rsidRPr="004B47AC">
        <w:rPr>
          <w:rFonts w:ascii="Times New Roman" w:hAnsi="Times New Roman" w:cs="Times New Roman"/>
          <w:sz w:val="26"/>
          <w:szCs w:val="26"/>
        </w:rPr>
        <w:t>va depune eforturi pentru implementarea planului său de acțiune pentru remedierea acestor deficiențe, inclusiv prin</w:t>
      </w:r>
      <w:r w:rsidR="00263787">
        <w:rPr>
          <w:rFonts w:ascii="Times New Roman" w:hAnsi="Times New Roman" w:cs="Times New Roman"/>
          <w:sz w:val="26"/>
          <w:szCs w:val="26"/>
        </w:rPr>
        <w:t xml:space="preserve">: (1) </w:t>
      </w:r>
      <w:r w:rsidR="002E6198">
        <w:rPr>
          <w:rFonts w:ascii="Times New Roman" w:hAnsi="Times New Roman" w:cs="Times New Roman"/>
          <w:sz w:val="26"/>
          <w:szCs w:val="26"/>
        </w:rPr>
        <w:t xml:space="preserve">adoptarea și implementarea unor măsuri adecvate pentru îmbunătățirea cooperării internaționale; (2) </w:t>
      </w:r>
      <w:r w:rsidR="002E6198" w:rsidRPr="002E6198">
        <w:rPr>
          <w:rFonts w:ascii="Times New Roman" w:hAnsi="Times New Roman" w:cs="Times New Roman"/>
          <w:sz w:val="26"/>
          <w:szCs w:val="26"/>
        </w:rPr>
        <w:t>abordarea aspectelor legate de transparență și proprietate benefică;</w:t>
      </w:r>
      <w:r w:rsidR="002E6198">
        <w:rPr>
          <w:rFonts w:ascii="Times New Roman" w:hAnsi="Times New Roman" w:cs="Times New Roman"/>
          <w:sz w:val="26"/>
          <w:szCs w:val="26"/>
        </w:rPr>
        <w:t xml:space="preserve"> (3) completarea cadrului legislativ pentru îmbunătățirea </w:t>
      </w:r>
      <w:r w:rsidR="00A014CB">
        <w:rPr>
          <w:rFonts w:ascii="Times New Roman" w:hAnsi="Times New Roman" w:cs="Times New Roman"/>
          <w:sz w:val="26"/>
          <w:szCs w:val="26"/>
        </w:rPr>
        <w:t xml:space="preserve">procesării sancțiunilor privind spălarea banilor înainte de tribunal; (4) stabilirea unor măsuri de urmărire și confiscarea bunurilor obținute din infracțiuni; (5) </w:t>
      </w:r>
      <w:proofErr w:type="spellStart"/>
      <w:r w:rsidR="00A014CB" w:rsidRPr="00A014CB">
        <w:rPr>
          <w:rFonts w:ascii="Times New Roman" w:hAnsi="Times New Roman" w:cs="Times New Roman"/>
          <w:sz w:val="26"/>
          <w:szCs w:val="26"/>
        </w:rPr>
        <w:t>prioritizarea</w:t>
      </w:r>
      <w:proofErr w:type="spellEnd"/>
      <w:r w:rsidR="00A014CB" w:rsidRPr="00A014CB">
        <w:rPr>
          <w:rFonts w:ascii="Times New Roman" w:hAnsi="Times New Roman" w:cs="Times New Roman"/>
          <w:sz w:val="26"/>
          <w:szCs w:val="26"/>
        </w:rPr>
        <w:t xml:space="preserve"> și urmărirea penală a cauzelor </w:t>
      </w:r>
      <w:r w:rsidR="00A014CB">
        <w:rPr>
          <w:rFonts w:ascii="Times New Roman" w:hAnsi="Times New Roman" w:cs="Times New Roman"/>
          <w:sz w:val="26"/>
          <w:szCs w:val="26"/>
        </w:rPr>
        <w:t>de FT</w:t>
      </w:r>
      <w:r w:rsidR="00A014CB" w:rsidRPr="00A014CB">
        <w:rPr>
          <w:rFonts w:ascii="Times New Roman" w:hAnsi="Times New Roman" w:cs="Times New Roman"/>
          <w:sz w:val="26"/>
          <w:szCs w:val="26"/>
        </w:rPr>
        <w:t xml:space="preserve"> atunci când acestea apar; (6) adoptarea modificărilor necesare legate de sancțiunile financiare specifice și măsurile de punere în aplicare pentru monitorizarea </w:t>
      </w:r>
      <w:proofErr w:type="spellStart"/>
      <w:r w:rsidR="00A014CB" w:rsidRPr="00A014CB">
        <w:rPr>
          <w:rFonts w:ascii="Times New Roman" w:hAnsi="Times New Roman" w:cs="Times New Roman"/>
          <w:sz w:val="26"/>
          <w:szCs w:val="26"/>
        </w:rPr>
        <w:t>ONP-urilor</w:t>
      </w:r>
      <w:proofErr w:type="spellEnd"/>
      <w:r w:rsidR="00A014CB" w:rsidRPr="00A014CB">
        <w:rPr>
          <w:rFonts w:ascii="Times New Roman" w:hAnsi="Times New Roman" w:cs="Times New Roman"/>
          <w:sz w:val="26"/>
          <w:szCs w:val="26"/>
        </w:rPr>
        <w:t xml:space="preserve"> pe baza riscului; și (7) dezvoltarea, adoptarea și implementarea cadrului necesar pentru combaterea finanțării proliferării.</w:t>
      </w:r>
      <w:r w:rsidR="00A014CB">
        <w:rPr>
          <w:rFonts w:ascii="Times New Roman" w:hAnsi="Times New Roman" w:cs="Times New Roman"/>
          <w:sz w:val="26"/>
          <w:szCs w:val="26"/>
        </w:rPr>
        <w:t xml:space="preserve"> </w:t>
      </w:r>
      <w:r w:rsidR="002E6198">
        <w:rPr>
          <w:rFonts w:ascii="Times New Roman" w:hAnsi="Times New Roman" w:cs="Times New Roman"/>
          <w:sz w:val="26"/>
          <w:szCs w:val="26"/>
        </w:rPr>
        <w:t xml:space="preserve"> </w:t>
      </w:r>
    </w:p>
    <w:p w:rsidR="00A014CB" w:rsidRDefault="00A014CB" w:rsidP="00A014CB">
      <w:pPr>
        <w:pBdr>
          <w:bottom w:val="single" w:sz="4" w:space="1" w:color="auto"/>
        </w:pBdr>
        <w:jc w:val="both"/>
        <w:rPr>
          <w:rFonts w:ascii="Times New Roman" w:hAnsi="Times New Roman" w:cs="Times New Roman"/>
          <w:b/>
          <w:sz w:val="26"/>
          <w:szCs w:val="26"/>
        </w:rPr>
      </w:pPr>
      <w:r>
        <w:rPr>
          <w:rFonts w:ascii="Times New Roman" w:hAnsi="Times New Roman" w:cs="Times New Roman"/>
          <w:b/>
          <w:sz w:val="26"/>
          <w:szCs w:val="26"/>
        </w:rPr>
        <w:t>Tunisia</w:t>
      </w:r>
    </w:p>
    <w:p w:rsidR="00A014CB" w:rsidRPr="00A014CB" w:rsidRDefault="00A014CB" w:rsidP="00A014CB">
      <w:pPr>
        <w:jc w:val="both"/>
        <w:rPr>
          <w:rFonts w:ascii="Times New Roman" w:hAnsi="Times New Roman" w:cs="Times New Roman"/>
          <w:sz w:val="26"/>
          <w:szCs w:val="26"/>
        </w:rPr>
      </w:pPr>
      <w:r>
        <w:rPr>
          <w:rFonts w:ascii="Times New Roman" w:hAnsi="Times New Roman" w:cs="Times New Roman"/>
          <w:sz w:val="26"/>
          <w:szCs w:val="26"/>
        </w:rPr>
        <w:t xml:space="preserve">În noiembrie 2017, atunci când Tunisia a prezenta un angajament politic, la nivel înalt, de cooperare cu FATF și MENAFATF în scopul remedierii regimului său de CSB/CFT și </w:t>
      </w:r>
      <w:r w:rsidRPr="005E49D6">
        <w:rPr>
          <w:rFonts w:ascii="Times New Roman" w:hAnsi="Times New Roman" w:cs="Times New Roman"/>
          <w:sz w:val="26"/>
          <w:szCs w:val="26"/>
        </w:rPr>
        <w:t>pentru a aborda orice deficiențe tehnice conexe</w:t>
      </w:r>
      <w:r>
        <w:rPr>
          <w:rFonts w:ascii="Times New Roman" w:hAnsi="Times New Roman" w:cs="Times New Roman"/>
          <w:sz w:val="26"/>
          <w:szCs w:val="26"/>
        </w:rPr>
        <w:t xml:space="preserve">, Tunisia a realizat progrese pentru îmbunătățirea regimului său de CSB/CFT, </w:t>
      </w:r>
      <w:r w:rsidR="00320B23" w:rsidRPr="00320B23">
        <w:rPr>
          <w:rFonts w:ascii="Times New Roman" w:hAnsi="Times New Roman" w:cs="Times New Roman"/>
          <w:sz w:val="26"/>
          <w:szCs w:val="26"/>
        </w:rPr>
        <w:t>inclusiv prin emiterea unui decret de punere în aplicare a sancțiunilor financiare specifice legate de terorism, pregătire</w:t>
      </w:r>
      <w:r w:rsidR="00320B23">
        <w:rPr>
          <w:rFonts w:ascii="Times New Roman" w:hAnsi="Times New Roman" w:cs="Times New Roman"/>
          <w:sz w:val="26"/>
          <w:szCs w:val="26"/>
        </w:rPr>
        <w:t>a manualelor de supraveghere CSB/</w:t>
      </w:r>
      <w:r w:rsidR="00320B23" w:rsidRPr="00320B23">
        <w:rPr>
          <w:rFonts w:ascii="Times New Roman" w:hAnsi="Times New Roman" w:cs="Times New Roman"/>
          <w:sz w:val="26"/>
          <w:szCs w:val="26"/>
        </w:rPr>
        <w:t xml:space="preserve">CFT, efectuarea de cursuri de instruire privind supravegherea </w:t>
      </w:r>
      <w:r w:rsidR="00320B23">
        <w:rPr>
          <w:rFonts w:ascii="Times New Roman" w:hAnsi="Times New Roman" w:cs="Times New Roman"/>
          <w:sz w:val="26"/>
          <w:szCs w:val="26"/>
        </w:rPr>
        <w:t xml:space="preserve">regimului de </w:t>
      </w:r>
      <w:r w:rsidR="00320B23" w:rsidRPr="00320B23">
        <w:rPr>
          <w:rFonts w:ascii="Times New Roman" w:hAnsi="Times New Roman" w:cs="Times New Roman"/>
          <w:sz w:val="26"/>
          <w:szCs w:val="26"/>
        </w:rPr>
        <w:t xml:space="preserve">CSB/CFT pentru autoritățile competente și creșterea resurselor umane în cadrul unității de informații financiare. Tunisia ar trebui să continue să depună eforturi pentru punerea în aplicare a planului său de acțiune pentru remedierea deficiențelor sale, inclusiv prin: (1) implementarea supravegherii </w:t>
      </w:r>
      <w:r w:rsidR="00320B23">
        <w:rPr>
          <w:rFonts w:ascii="Times New Roman" w:hAnsi="Times New Roman" w:cs="Times New Roman"/>
          <w:sz w:val="26"/>
          <w:szCs w:val="26"/>
        </w:rPr>
        <w:t xml:space="preserve">regimului de </w:t>
      </w:r>
      <w:r w:rsidR="00320B23" w:rsidRPr="00320B23">
        <w:rPr>
          <w:rFonts w:ascii="Times New Roman" w:hAnsi="Times New Roman" w:cs="Times New Roman"/>
          <w:sz w:val="26"/>
          <w:szCs w:val="26"/>
        </w:rPr>
        <w:t xml:space="preserve">CSB/CFT pe bază de risc a sectorului financiar și integrarea pe deplin a întreprinderilor și profesiilor nefinanciare desemnate în regimul </w:t>
      </w:r>
      <w:r w:rsidR="00320B23">
        <w:rPr>
          <w:rFonts w:ascii="Times New Roman" w:hAnsi="Times New Roman" w:cs="Times New Roman"/>
          <w:sz w:val="26"/>
          <w:szCs w:val="26"/>
        </w:rPr>
        <w:t xml:space="preserve">de </w:t>
      </w:r>
      <w:r w:rsidR="00320B23" w:rsidRPr="00320B23">
        <w:rPr>
          <w:rFonts w:ascii="Times New Roman" w:hAnsi="Times New Roman" w:cs="Times New Roman"/>
          <w:sz w:val="26"/>
          <w:szCs w:val="26"/>
        </w:rPr>
        <w:t xml:space="preserve">CSB/CFT; (2) menținerea registrelor comerciale complete și actualizate și consolidarea sistemului de sancțiuni pentru încălcarea obligațiilor de transparență; (3) creșterea eficienței prelucrării rapoartelor privind tranzacțiile suspecte prin alocarea resurselor necesare unității de informații financiare; (4) instituirea unui regim de sancțiuni financiare orientate pe terorism pe deplin funcțional și monitorizarea adecvată a sectorului de </w:t>
      </w:r>
      <w:r w:rsidR="00320B23" w:rsidRPr="00320B23">
        <w:rPr>
          <w:rFonts w:ascii="Times New Roman" w:hAnsi="Times New Roman" w:cs="Times New Roman"/>
          <w:sz w:val="26"/>
          <w:szCs w:val="26"/>
        </w:rPr>
        <w:lastRenderedPageBreak/>
        <w:t xml:space="preserve">asociere; și (5) stabilirea și </w:t>
      </w:r>
      <w:r w:rsidR="00320B23">
        <w:rPr>
          <w:rFonts w:ascii="Times New Roman" w:hAnsi="Times New Roman" w:cs="Times New Roman"/>
          <w:sz w:val="26"/>
          <w:szCs w:val="26"/>
        </w:rPr>
        <w:t>implementarea</w:t>
      </w:r>
      <w:r w:rsidR="00320B23" w:rsidRPr="00320B23">
        <w:rPr>
          <w:rFonts w:ascii="Times New Roman" w:hAnsi="Times New Roman" w:cs="Times New Roman"/>
          <w:sz w:val="26"/>
          <w:szCs w:val="26"/>
        </w:rPr>
        <w:t xml:space="preserve"> sancțiunilor financiare direcționate privind armele de distrugere în masă.</w:t>
      </w:r>
      <w:r>
        <w:rPr>
          <w:rFonts w:ascii="Times New Roman" w:hAnsi="Times New Roman" w:cs="Times New Roman"/>
          <w:sz w:val="26"/>
          <w:szCs w:val="26"/>
        </w:rPr>
        <w:t xml:space="preserve"> </w:t>
      </w:r>
    </w:p>
    <w:p w:rsidR="004B47AC" w:rsidRDefault="004B47AC" w:rsidP="00320B23">
      <w:pPr>
        <w:pBdr>
          <w:bottom w:val="single" w:sz="4" w:space="1" w:color="auto"/>
        </w:pBdr>
        <w:jc w:val="both"/>
        <w:rPr>
          <w:rFonts w:ascii="Times New Roman" w:hAnsi="Times New Roman" w:cs="Times New Roman"/>
          <w:b/>
          <w:sz w:val="26"/>
          <w:szCs w:val="26"/>
        </w:rPr>
      </w:pPr>
      <w:r w:rsidRPr="004B47AC">
        <w:rPr>
          <w:rFonts w:ascii="Times New Roman" w:hAnsi="Times New Roman" w:cs="Times New Roman"/>
          <w:b/>
          <w:sz w:val="26"/>
          <w:szCs w:val="26"/>
        </w:rPr>
        <w:t>Vanuatu</w:t>
      </w:r>
    </w:p>
    <w:p w:rsidR="00B755C9" w:rsidRDefault="00320B23" w:rsidP="004B47AC">
      <w:pPr>
        <w:spacing w:after="0"/>
        <w:jc w:val="both"/>
        <w:rPr>
          <w:rFonts w:ascii="Times New Roman" w:hAnsi="Times New Roman" w:cs="Times New Roman"/>
          <w:sz w:val="26"/>
          <w:szCs w:val="26"/>
        </w:rPr>
      </w:pPr>
      <w:r w:rsidRPr="00320B23">
        <w:rPr>
          <w:rFonts w:ascii="Times New Roman" w:hAnsi="Times New Roman" w:cs="Times New Roman"/>
          <w:sz w:val="26"/>
          <w:szCs w:val="26"/>
        </w:rPr>
        <w:t xml:space="preserve">Din februarie 2016, </w:t>
      </w:r>
      <w:r>
        <w:rPr>
          <w:rFonts w:ascii="Times New Roman" w:hAnsi="Times New Roman" w:cs="Times New Roman"/>
          <w:sz w:val="26"/>
          <w:szCs w:val="26"/>
        </w:rPr>
        <w:t xml:space="preserve">atunci </w:t>
      </w:r>
      <w:r w:rsidRPr="00320B23">
        <w:rPr>
          <w:rFonts w:ascii="Times New Roman" w:hAnsi="Times New Roman" w:cs="Times New Roman"/>
          <w:sz w:val="26"/>
          <w:szCs w:val="26"/>
        </w:rPr>
        <w:t xml:space="preserve">când Vanuatu </w:t>
      </w:r>
      <w:r>
        <w:rPr>
          <w:rFonts w:ascii="Times New Roman" w:hAnsi="Times New Roman" w:cs="Times New Roman"/>
          <w:sz w:val="26"/>
          <w:szCs w:val="26"/>
        </w:rPr>
        <w:t>a prezentat</w:t>
      </w:r>
      <w:r w:rsidRPr="00320B23">
        <w:rPr>
          <w:rFonts w:ascii="Times New Roman" w:hAnsi="Times New Roman" w:cs="Times New Roman"/>
          <w:sz w:val="26"/>
          <w:szCs w:val="26"/>
        </w:rPr>
        <w:t xml:space="preserve"> un angajament politic</w:t>
      </w:r>
      <w:r>
        <w:rPr>
          <w:rFonts w:ascii="Times New Roman" w:hAnsi="Times New Roman" w:cs="Times New Roman"/>
          <w:sz w:val="26"/>
          <w:szCs w:val="26"/>
        </w:rPr>
        <w:t>,</w:t>
      </w:r>
      <w:r w:rsidRPr="00320B23">
        <w:rPr>
          <w:rFonts w:ascii="Times New Roman" w:hAnsi="Times New Roman" w:cs="Times New Roman"/>
          <w:sz w:val="26"/>
          <w:szCs w:val="26"/>
        </w:rPr>
        <w:t xml:space="preserve"> la nivel înalt</w:t>
      </w:r>
      <w:r>
        <w:rPr>
          <w:rFonts w:ascii="Times New Roman" w:hAnsi="Times New Roman" w:cs="Times New Roman"/>
          <w:sz w:val="26"/>
          <w:szCs w:val="26"/>
        </w:rPr>
        <w:t>,</w:t>
      </w:r>
      <w:r w:rsidRPr="00320B23">
        <w:rPr>
          <w:rFonts w:ascii="Times New Roman" w:hAnsi="Times New Roman" w:cs="Times New Roman"/>
          <w:sz w:val="26"/>
          <w:szCs w:val="26"/>
        </w:rPr>
        <w:t xml:space="preserve"> de colabora</w:t>
      </w:r>
      <w:r>
        <w:rPr>
          <w:rFonts w:ascii="Times New Roman" w:hAnsi="Times New Roman" w:cs="Times New Roman"/>
          <w:sz w:val="26"/>
          <w:szCs w:val="26"/>
        </w:rPr>
        <w:t>re</w:t>
      </w:r>
      <w:r w:rsidRPr="00320B23">
        <w:rPr>
          <w:rFonts w:ascii="Times New Roman" w:hAnsi="Times New Roman" w:cs="Times New Roman"/>
          <w:sz w:val="26"/>
          <w:szCs w:val="26"/>
        </w:rPr>
        <w:t xml:space="preserve"> cu FATF și APG pentru a aborda deficiențele sale strategice de CSB/CFT, </w:t>
      </w:r>
      <w:r>
        <w:rPr>
          <w:rFonts w:ascii="Times New Roman" w:hAnsi="Times New Roman" w:cs="Times New Roman"/>
          <w:sz w:val="26"/>
          <w:szCs w:val="26"/>
        </w:rPr>
        <w:t>acest stat</w:t>
      </w:r>
      <w:r w:rsidRPr="00320B23">
        <w:rPr>
          <w:rFonts w:ascii="Times New Roman" w:hAnsi="Times New Roman" w:cs="Times New Roman"/>
          <w:sz w:val="26"/>
          <w:szCs w:val="26"/>
        </w:rPr>
        <w:t xml:space="preserve"> și-a abordat substanțial planul de acțiune la nivel tehnic, inclusiv prin: spălarea banilor și finanțarea terorismului; (2) stabilirea procedurilor adecvate pentru confiscarea bunurilor legate de spălarea banilor; (3) stabilirea unui cadru juridic adecvat pentru identificarea, urmărirea și înghețarea activelor teroriste și a altor sancțiuni ale ONU; (4) asigurarea unei unități de informații financiare funcționale și funcționale; (5) consolidarea măsurilor preventive, inclusiv pentru transferurile bancare; (6) stabilirea de transparență pentru sectorul financiar, precum și pentru persoanele și înțelegerile juridice; (7) stabilirea unui program de supraveghere și supraveghere adecvat pentru </w:t>
      </w:r>
      <w:r>
        <w:rPr>
          <w:rFonts w:ascii="Times New Roman" w:hAnsi="Times New Roman" w:cs="Times New Roman"/>
          <w:sz w:val="26"/>
          <w:szCs w:val="26"/>
        </w:rPr>
        <w:t xml:space="preserve">regimul de </w:t>
      </w:r>
      <w:r w:rsidRPr="00320B23">
        <w:rPr>
          <w:rFonts w:ascii="Times New Roman" w:hAnsi="Times New Roman" w:cs="Times New Roman"/>
          <w:sz w:val="26"/>
          <w:szCs w:val="26"/>
        </w:rPr>
        <w:t>CSB/CFT pentru întregul sector financiar și pentru furnizorii de servicii de încredere și de servicii pentru întreprinderi; și (8) stabilirea unor canale adecvate pentru politicile și acțiunile internaționale de cooperare internațională și de acțiune privind riscurile identificate și asigurarea implementării eficiente. FATF va efectua o vizită la fața locului pentru a confirma că implementarea acestor reforme a început și este susținută.</w:t>
      </w:r>
    </w:p>
    <w:p w:rsidR="00320B23" w:rsidRDefault="00320B23" w:rsidP="004B47AC">
      <w:pPr>
        <w:spacing w:after="0"/>
        <w:jc w:val="both"/>
        <w:rPr>
          <w:rFonts w:ascii="Times New Roman" w:hAnsi="Times New Roman" w:cs="Times New Roman"/>
          <w:sz w:val="26"/>
          <w:szCs w:val="26"/>
        </w:rPr>
      </w:pPr>
    </w:p>
    <w:p w:rsidR="00671D68" w:rsidRDefault="00671D68" w:rsidP="004B47AC">
      <w:pPr>
        <w:pBdr>
          <w:bottom w:val="single" w:sz="4" w:space="1" w:color="auto"/>
        </w:pBdr>
        <w:jc w:val="both"/>
        <w:rPr>
          <w:rFonts w:ascii="Times New Roman" w:hAnsi="Times New Roman" w:cs="Times New Roman"/>
          <w:b/>
          <w:sz w:val="26"/>
          <w:szCs w:val="26"/>
        </w:rPr>
      </w:pPr>
      <w:r w:rsidRPr="00671D68">
        <w:rPr>
          <w:rFonts w:ascii="Times New Roman" w:hAnsi="Times New Roman" w:cs="Times New Roman"/>
          <w:b/>
          <w:bCs/>
          <w:sz w:val="26"/>
          <w:szCs w:val="26"/>
        </w:rPr>
        <w:t>Yemen</w:t>
      </w:r>
    </w:p>
    <w:p w:rsidR="00B755C9" w:rsidRDefault="00320B23" w:rsidP="00D94CDD">
      <w:pPr>
        <w:jc w:val="both"/>
        <w:rPr>
          <w:rFonts w:ascii="Times New Roman" w:hAnsi="Times New Roman" w:cs="Times New Roman"/>
          <w:sz w:val="26"/>
          <w:szCs w:val="26"/>
        </w:rPr>
      </w:pPr>
      <w:r w:rsidRPr="00320B23">
        <w:rPr>
          <w:rFonts w:ascii="Times New Roman" w:hAnsi="Times New Roman" w:cs="Times New Roman"/>
          <w:sz w:val="26"/>
          <w:szCs w:val="26"/>
        </w:rPr>
        <w:t xml:space="preserve">Începând cu februarie 2010, </w:t>
      </w:r>
      <w:r>
        <w:rPr>
          <w:rFonts w:ascii="Times New Roman" w:hAnsi="Times New Roman" w:cs="Times New Roman"/>
          <w:sz w:val="26"/>
          <w:szCs w:val="26"/>
        </w:rPr>
        <w:t xml:space="preserve">atunci </w:t>
      </w:r>
      <w:r w:rsidRPr="00320B23">
        <w:rPr>
          <w:rFonts w:ascii="Times New Roman" w:hAnsi="Times New Roman" w:cs="Times New Roman"/>
          <w:sz w:val="26"/>
          <w:szCs w:val="26"/>
        </w:rPr>
        <w:t xml:space="preserve">când Yemenul a făcut un angajament politic la nivel înalt de a colabora cu FATF și MENAFATF pentru a aborda deficiențele sale strategice de CSB / CFT, </w:t>
      </w:r>
      <w:r>
        <w:rPr>
          <w:rFonts w:ascii="Times New Roman" w:hAnsi="Times New Roman" w:cs="Times New Roman"/>
          <w:sz w:val="26"/>
          <w:szCs w:val="26"/>
        </w:rPr>
        <w:t>acest stat</w:t>
      </w:r>
      <w:r w:rsidRPr="00320B23">
        <w:rPr>
          <w:rFonts w:ascii="Times New Roman" w:hAnsi="Times New Roman" w:cs="Times New Roman"/>
          <w:sz w:val="26"/>
          <w:szCs w:val="26"/>
        </w:rPr>
        <w:t xml:space="preserve"> a făcut progrese </w:t>
      </w:r>
      <w:r>
        <w:rPr>
          <w:rFonts w:ascii="Times New Roman" w:hAnsi="Times New Roman" w:cs="Times New Roman"/>
          <w:sz w:val="26"/>
          <w:szCs w:val="26"/>
        </w:rPr>
        <w:t>de</w:t>
      </w:r>
      <w:r w:rsidRPr="00320B23">
        <w:rPr>
          <w:rFonts w:ascii="Times New Roman" w:hAnsi="Times New Roman" w:cs="Times New Roman"/>
          <w:sz w:val="26"/>
          <w:szCs w:val="26"/>
        </w:rPr>
        <w:t xml:space="preserve"> îmbunătățire</w:t>
      </w:r>
      <w:r>
        <w:rPr>
          <w:rFonts w:ascii="Times New Roman" w:hAnsi="Times New Roman" w:cs="Times New Roman"/>
          <w:sz w:val="26"/>
          <w:szCs w:val="26"/>
        </w:rPr>
        <w:t xml:space="preserve"> </w:t>
      </w:r>
      <w:r w:rsidRPr="00320B23">
        <w:rPr>
          <w:rFonts w:ascii="Times New Roman" w:hAnsi="Times New Roman" w:cs="Times New Roman"/>
          <w:sz w:val="26"/>
          <w:szCs w:val="26"/>
        </w:rPr>
        <w:t xml:space="preserve">a regimului CSB/CFT. În iunie 2014, FATF a stabilit că Yemen </w:t>
      </w:r>
      <w:r>
        <w:rPr>
          <w:rFonts w:ascii="Times New Roman" w:hAnsi="Times New Roman" w:cs="Times New Roman"/>
          <w:sz w:val="26"/>
          <w:szCs w:val="26"/>
        </w:rPr>
        <w:t>a abordat</w:t>
      </w:r>
      <w:r w:rsidRPr="00320B23">
        <w:rPr>
          <w:rFonts w:ascii="Times New Roman" w:hAnsi="Times New Roman" w:cs="Times New Roman"/>
          <w:sz w:val="26"/>
          <w:szCs w:val="26"/>
        </w:rPr>
        <w:t xml:space="preserve"> în mod substanțial planului său de acțiune la nivel tehnic, inclusiv prin: (1) incriminarea adecvată a spălării banilor și a finanțării terorismului; (2) stabilirea procedurilor de identificare și înghețare a activelor teroriste; (3) îmbunătățirea cerințelor de </w:t>
      </w:r>
      <w:proofErr w:type="spellStart"/>
      <w:r w:rsidRPr="00320B23">
        <w:rPr>
          <w:rFonts w:ascii="Times New Roman" w:hAnsi="Times New Roman" w:cs="Times New Roman"/>
          <w:sz w:val="26"/>
          <w:szCs w:val="26"/>
        </w:rPr>
        <w:t>due</w:t>
      </w:r>
      <w:proofErr w:type="spellEnd"/>
      <w:r w:rsidRPr="00320B23">
        <w:rPr>
          <w:rFonts w:ascii="Times New Roman" w:hAnsi="Times New Roman" w:cs="Times New Roman"/>
          <w:sz w:val="26"/>
          <w:szCs w:val="26"/>
        </w:rPr>
        <w:t xml:space="preserve"> </w:t>
      </w:r>
      <w:proofErr w:type="spellStart"/>
      <w:r w:rsidRPr="00320B23">
        <w:rPr>
          <w:rFonts w:ascii="Times New Roman" w:hAnsi="Times New Roman" w:cs="Times New Roman"/>
          <w:sz w:val="26"/>
          <w:szCs w:val="26"/>
        </w:rPr>
        <w:t>diligence</w:t>
      </w:r>
      <w:proofErr w:type="spellEnd"/>
      <w:r w:rsidRPr="00320B23">
        <w:rPr>
          <w:rFonts w:ascii="Times New Roman" w:hAnsi="Times New Roman" w:cs="Times New Roman"/>
          <w:sz w:val="26"/>
          <w:szCs w:val="26"/>
        </w:rPr>
        <w:t xml:space="preserve"> ale clienților și a cerințelor de raportare a tranzacțiilor suspecte; (4) emiterea recomandărilor; (5) dezvoltarea capacității de monitorizare și de supraveghere a autorităților de supraveghere din sectorul financiar și a unității de informații financiare; și (6) crearea unei unități de informații financiare funcționale și funcționale. Deși FATF a stabilit că Yemenul și-a încheiat planul de acțiune convenit, din cauza situației de securitate, FATF nu a putut efectua o vizită la fața locului pentru a confirma dacă procesul de implementare a reformelor și acțiunilor necesare a început și este susținut. FATF va continua să monitorizeze situația și să efectueze o vizită la fața locului cât mai curând posibil.</w:t>
      </w:r>
    </w:p>
    <w:tbl>
      <w:tblPr>
        <w:tblStyle w:val="GrilTabel"/>
        <w:tblW w:w="9621" w:type="dxa"/>
        <w:tblLook w:val="04A0" w:firstRow="1" w:lastRow="0" w:firstColumn="1" w:lastColumn="0" w:noHBand="0" w:noVBand="1"/>
      </w:tblPr>
      <w:tblGrid>
        <w:gridCol w:w="9621"/>
      </w:tblGrid>
      <w:tr w:rsidR="00427C34" w:rsidTr="00320B23">
        <w:trPr>
          <w:trHeight w:val="4400"/>
        </w:trPr>
        <w:tc>
          <w:tcPr>
            <w:tcW w:w="9621" w:type="dxa"/>
            <w:tcBorders>
              <w:bottom w:val="single" w:sz="4" w:space="0" w:color="auto"/>
            </w:tcBorders>
          </w:tcPr>
          <w:p w:rsidR="00427C34" w:rsidRPr="00D94CDD" w:rsidRDefault="00427C34" w:rsidP="00D94CDD">
            <w:pPr>
              <w:spacing w:line="276" w:lineRule="auto"/>
              <w:jc w:val="both"/>
              <w:rPr>
                <w:rFonts w:ascii="Times New Roman" w:hAnsi="Times New Roman" w:cs="Times New Roman"/>
                <w:b/>
                <w:bCs/>
                <w:sz w:val="28"/>
                <w:szCs w:val="26"/>
              </w:rPr>
            </w:pPr>
            <w:r w:rsidRPr="00D94CDD">
              <w:rPr>
                <w:rFonts w:ascii="Times New Roman" w:hAnsi="Times New Roman" w:cs="Times New Roman"/>
                <w:b/>
                <w:bCs/>
                <w:sz w:val="28"/>
                <w:szCs w:val="26"/>
              </w:rPr>
              <w:lastRenderedPageBreak/>
              <w:t>Jurisdicții care nu mai fac subiectul procesului global de conformitate CSB/CFT</w:t>
            </w:r>
          </w:p>
          <w:p w:rsidR="00B755C9" w:rsidRDefault="00B755C9" w:rsidP="00D94CDD">
            <w:pPr>
              <w:spacing w:line="276" w:lineRule="auto"/>
              <w:jc w:val="both"/>
              <w:rPr>
                <w:rFonts w:ascii="Times New Roman" w:hAnsi="Times New Roman" w:cs="Times New Roman"/>
                <w:b/>
                <w:bCs/>
                <w:sz w:val="26"/>
                <w:szCs w:val="26"/>
              </w:rPr>
            </w:pPr>
          </w:p>
          <w:p w:rsidR="00320B23" w:rsidRPr="00320B23" w:rsidRDefault="00320B23" w:rsidP="00320B23">
            <w:pPr>
              <w:pStyle w:val="Corptext3"/>
              <w:pBdr>
                <w:bottom w:val="single" w:sz="4" w:space="1" w:color="auto"/>
              </w:pBdr>
              <w:jc w:val="both"/>
              <w:rPr>
                <w:rFonts w:ascii="Times New Roman" w:hAnsi="Times New Roman" w:cs="Times New Roman"/>
                <w:b/>
                <w:sz w:val="26"/>
                <w:szCs w:val="26"/>
              </w:rPr>
            </w:pPr>
            <w:r w:rsidRPr="00320B23">
              <w:rPr>
                <w:rFonts w:ascii="Times New Roman" w:hAnsi="Times New Roman" w:cs="Times New Roman"/>
                <w:b/>
                <w:sz w:val="26"/>
                <w:szCs w:val="26"/>
              </w:rPr>
              <w:t xml:space="preserve">Bosnia si </w:t>
            </w:r>
            <w:proofErr w:type="spellStart"/>
            <w:r w:rsidRPr="00320B23">
              <w:rPr>
                <w:rFonts w:ascii="Times New Roman" w:hAnsi="Times New Roman" w:cs="Times New Roman"/>
                <w:b/>
                <w:sz w:val="26"/>
                <w:szCs w:val="26"/>
              </w:rPr>
              <w:t>Hertegovina</w:t>
            </w:r>
            <w:proofErr w:type="spellEnd"/>
          </w:p>
          <w:p w:rsidR="00D94CDD" w:rsidRPr="00A4204F" w:rsidRDefault="00320B23" w:rsidP="00320B23">
            <w:pPr>
              <w:pStyle w:val="Corptext3"/>
              <w:spacing w:after="0" w:line="276" w:lineRule="auto"/>
              <w:jc w:val="both"/>
              <w:rPr>
                <w:rFonts w:ascii="Times New Roman" w:hAnsi="Times New Roman" w:cs="Times New Roman"/>
                <w:sz w:val="26"/>
                <w:szCs w:val="26"/>
              </w:rPr>
            </w:pPr>
            <w:r w:rsidRPr="00320B23">
              <w:rPr>
                <w:rFonts w:ascii="Times New Roman" w:hAnsi="Times New Roman" w:cs="Times New Roman"/>
                <w:sz w:val="26"/>
                <w:szCs w:val="26"/>
              </w:rPr>
              <w:t xml:space="preserve">FATF salută progresele semnificative ale Bosniei și Herțegovinei în îmbunătățirea regimului </w:t>
            </w:r>
            <w:r>
              <w:rPr>
                <w:rFonts w:ascii="Times New Roman" w:hAnsi="Times New Roman" w:cs="Times New Roman"/>
                <w:sz w:val="26"/>
                <w:szCs w:val="26"/>
              </w:rPr>
              <w:t xml:space="preserve">său de </w:t>
            </w:r>
            <w:r w:rsidRPr="00320B23">
              <w:rPr>
                <w:rFonts w:ascii="Times New Roman" w:hAnsi="Times New Roman" w:cs="Times New Roman"/>
                <w:sz w:val="26"/>
                <w:szCs w:val="26"/>
              </w:rPr>
              <w:t>CSB/CFT și constată că Bosnia și Herțegovina a stabilit cadrul juridic și de reglementare pentru a-și îndeplini angajamentele din planul său de acțiune privind deficiențele strategice identificate de FATF în iunie 2015. Prin urmare, Herțegovina nu mai face obiectul procesului de monitorizare a FATF în cadrul procesul</w:t>
            </w:r>
            <w:r>
              <w:rPr>
                <w:rFonts w:ascii="Times New Roman" w:hAnsi="Times New Roman" w:cs="Times New Roman"/>
                <w:sz w:val="26"/>
                <w:szCs w:val="26"/>
              </w:rPr>
              <w:t>ui său global de combatere a CSB</w:t>
            </w:r>
            <w:r w:rsidRPr="00320B23">
              <w:rPr>
                <w:rFonts w:ascii="Times New Roman" w:hAnsi="Times New Roman" w:cs="Times New Roman"/>
                <w:sz w:val="26"/>
                <w:szCs w:val="26"/>
              </w:rPr>
              <w:t>/CFT. Bosnia și Herțegovina va colabora cu MONEYVAL pentru a-și îmbunătăți cadrul CSB/CFT.</w:t>
            </w:r>
          </w:p>
        </w:tc>
      </w:tr>
    </w:tbl>
    <w:p w:rsidR="00427C34" w:rsidRDefault="00427C34" w:rsidP="00D94CDD">
      <w:pPr>
        <w:jc w:val="both"/>
        <w:rPr>
          <w:rFonts w:ascii="Times New Roman" w:hAnsi="Times New Roman" w:cs="Times New Roman"/>
          <w:bCs/>
          <w:sz w:val="26"/>
          <w:szCs w:val="26"/>
        </w:rPr>
      </w:pPr>
    </w:p>
    <w:p w:rsidR="00671D68" w:rsidRPr="00671D68" w:rsidRDefault="009D23DC" w:rsidP="00D94CDD">
      <w:pPr>
        <w:jc w:val="both"/>
        <w:rPr>
          <w:rFonts w:ascii="Times New Roman" w:hAnsi="Times New Roman" w:cs="Times New Roman"/>
          <w:sz w:val="26"/>
          <w:szCs w:val="26"/>
        </w:rPr>
      </w:pPr>
      <w:r>
        <w:rPr>
          <w:rFonts w:ascii="Times New Roman" w:hAnsi="Times New Roman" w:cs="Times New Roman"/>
          <w:sz w:val="26"/>
          <w:szCs w:val="26"/>
        </w:rPr>
        <w:t xml:space="preserve"> </w:t>
      </w:r>
    </w:p>
    <w:sectPr w:rsidR="00671D68" w:rsidRPr="00671D68" w:rsidSect="00B755C9">
      <w:headerReference w:type="default" r:id="rId17"/>
      <w:footerReference w:type="default" r:id="rId18"/>
      <w:pgSz w:w="11907" w:h="16839" w:code="9"/>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9C" w:rsidRDefault="0001599C" w:rsidP="00D739AB">
      <w:pPr>
        <w:spacing w:after="0" w:line="240" w:lineRule="auto"/>
      </w:pPr>
      <w:r>
        <w:separator/>
      </w:r>
    </w:p>
  </w:endnote>
  <w:endnote w:type="continuationSeparator" w:id="0">
    <w:p w:rsidR="0001599C" w:rsidRDefault="0001599C" w:rsidP="00D7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28811"/>
      <w:docPartObj>
        <w:docPartGallery w:val="Page Numbers (Bottom of Page)"/>
        <w:docPartUnique/>
      </w:docPartObj>
    </w:sdtPr>
    <w:sdtEndPr/>
    <w:sdtContent>
      <w:p w:rsidR="00D739AB" w:rsidRDefault="00D739AB">
        <w:pPr>
          <w:pStyle w:val="Subsol"/>
          <w:jc w:val="right"/>
        </w:pPr>
        <w:r>
          <w:fldChar w:fldCharType="begin"/>
        </w:r>
        <w:r>
          <w:instrText>PAGE   \* MERGEFORMAT</w:instrText>
        </w:r>
        <w:r>
          <w:fldChar w:fldCharType="separate"/>
        </w:r>
        <w:r w:rsidR="00320B23">
          <w:rPr>
            <w:noProof/>
          </w:rPr>
          <w:t>1</w:t>
        </w:r>
        <w:r>
          <w:fldChar w:fldCharType="end"/>
        </w:r>
        <w:r w:rsidR="00B755C9">
          <w:t>/7</w:t>
        </w:r>
      </w:p>
    </w:sdtContent>
  </w:sdt>
  <w:p w:rsidR="00D739AB" w:rsidRDefault="00D739A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9C" w:rsidRDefault="0001599C" w:rsidP="00D739AB">
      <w:pPr>
        <w:spacing w:after="0" w:line="240" w:lineRule="auto"/>
      </w:pPr>
      <w:r>
        <w:separator/>
      </w:r>
    </w:p>
  </w:footnote>
  <w:footnote w:type="continuationSeparator" w:id="0">
    <w:p w:rsidR="0001599C" w:rsidRDefault="0001599C" w:rsidP="00D7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AB" w:rsidRDefault="00D739AB">
    <w:pPr>
      <w:pStyle w:val="Antet"/>
    </w:pPr>
  </w:p>
  <w:p w:rsidR="00D739AB" w:rsidRDefault="00D739A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02"/>
    <w:rsid w:val="0001599C"/>
    <w:rsid w:val="00034876"/>
    <w:rsid w:val="000542DA"/>
    <w:rsid w:val="00070E81"/>
    <w:rsid w:val="0007109B"/>
    <w:rsid w:val="000827F0"/>
    <w:rsid w:val="00094EFB"/>
    <w:rsid w:val="00113AD8"/>
    <w:rsid w:val="001223C7"/>
    <w:rsid w:val="00135E9F"/>
    <w:rsid w:val="00140531"/>
    <w:rsid w:val="00144939"/>
    <w:rsid w:val="0016592E"/>
    <w:rsid w:val="00167D86"/>
    <w:rsid w:val="001802EE"/>
    <w:rsid w:val="00181F26"/>
    <w:rsid w:val="001B0F2F"/>
    <w:rsid w:val="001D1BA6"/>
    <w:rsid w:val="00217BDC"/>
    <w:rsid w:val="00250FB5"/>
    <w:rsid w:val="00252398"/>
    <w:rsid w:val="00263787"/>
    <w:rsid w:val="002848E9"/>
    <w:rsid w:val="0029554F"/>
    <w:rsid w:val="002E6198"/>
    <w:rsid w:val="00303CDD"/>
    <w:rsid w:val="00320B23"/>
    <w:rsid w:val="00366551"/>
    <w:rsid w:val="0039019B"/>
    <w:rsid w:val="00392685"/>
    <w:rsid w:val="00395DDB"/>
    <w:rsid w:val="00397313"/>
    <w:rsid w:val="003B763C"/>
    <w:rsid w:val="003E3D94"/>
    <w:rsid w:val="00401A74"/>
    <w:rsid w:val="00413302"/>
    <w:rsid w:val="00427C34"/>
    <w:rsid w:val="004422D9"/>
    <w:rsid w:val="00485050"/>
    <w:rsid w:val="004A241D"/>
    <w:rsid w:val="004B47AC"/>
    <w:rsid w:val="004D67D3"/>
    <w:rsid w:val="0050148A"/>
    <w:rsid w:val="005023BF"/>
    <w:rsid w:val="005071A1"/>
    <w:rsid w:val="00522835"/>
    <w:rsid w:val="00541D3B"/>
    <w:rsid w:val="005729F8"/>
    <w:rsid w:val="005C276E"/>
    <w:rsid w:val="005E358D"/>
    <w:rsid w:val="005E49D6"/>
    <w:rsid w:val="00622A17"/>
    <w:rsid w:val="006265C2"/>
    <w:rsid w:val="00636E7C"/>
    <w:rsid w:val="00641777"/>
    <w:rsid w:val="00651AF3"/>
    <w:rsid w:val="00671D68"/>
    <w:rsid w:val="00672244"/>
    <w:rsid w:val="006806E2"/>
    <w:rsid w:val="00686A69"/>
    <w:rsid w:val="006C57B3"/>
    <w:rsid w:val="006E4D00"/>
    <w:rsid w:val="00723C3D"/>
    <w:rsid w:val="0076492D"/>
    <w:rsid w:val="00790A2F"/>
    <w:rsid w:val="00805287"/>
    <w:rsid w:val="0082025C"/>
    <w:rsid w:val="008704D6"/>
    <w:rsid w:val="00890FA6"/>
    <w:rsid w:val="008B558C"/>
    <w:rsid w:val="008C0C5C"/>
    <w:rsid w:val="008D6F7C"/>
    <w:rsid w:val="0091761A"/>
    <w:rsid w:val="0096409C"/>
    <w:rsid w:val="00976371"/>
    <w:rsid w:val="009771C9"/>
    <w:rsid w:val="009858AE"/>
    <w:rsid w:val="009A4418"/>
    <w:rsid w:val="009C08C3"/>
    <w:rsid w:val="009C6510"/>
    <w:rsid w:val="009C6602"/>
    <w:rsid w:val="009D23DC"/>
    <w:rsid w:val="009E3668"/>
    <w:rsid w:val="00A014CB"/>
    <w:rsid w:val="00A0433D"/>
    <w:rsid w:val="00A4204F"/>
    <w:rsid w:val="00AD72C8"/>
    <w:rsid w:val="00AF7021"/>
    <w:rsid w:val="00B26CDB"/>
    <w:rsid w:val="00B367FF"/>
    <w:rsid w:val="00B454B5"/>
    <w:rsid w:val="00B51749"/>
    <w:rsid w:val="00B57824"/>
    <w:rsid w:val="00B755C9"/>
    <w:rsid w:val="00B914BB"/>
    <w:rsid w:val="00B92932"/>
    <w:rsid w:val="00B95064"/>
    <w:rsid w:val="00BA6007"/>
    <w:rsid w:val="00BD2271"/>
    <w:rsid w:val="00BE22A2"/>
    <w:rsid w:val="00BE4829"/>
    <w:rsid w:val="00C17BE5"/>
    <w:rsid w:val="00C31A73"/>
    <w:rsid w:val="00C62CFA"/>
    <w:rsid w:val="00C73AD2"/>
    <w:rsid w:val="00D10C0D"/>
    <w:rsid w:val="00D45F1D"/>
    <w:rsid w:val="00D739AB"/>
    <w:rsid w:val="00D824B9"/>
    <w:rsid w:val="00D94CDD"/>
    <w:rsid w:val="00DA00B2"/>
    <w:rsid w:val="00DE129C"/>
    <w:rsid w:val="00DE5670"/>
    <w:rsid w:val="00DE569A"/>
    <w:rsid w:val="00DF0521"/>
    <w:rsid w:val="00E22AFF"/>
    <w:rsid w:val="00E248AC"/>
    <w:rsid w:val="00E2794E"/>
    <w:rsid w:val="00E73E7B"/>
    <w:rsid w:val="00EC7EEF"/>
    <w:rsid w:val="00EE5598"/>
    <w:rsid w:val="00EF7013"/>
    <w:rsid w:val="00F007E4"/>
    <w:rsid w:val="00F3422A"/>
    <w:rsid w:val="00F74161"/>
    <w:rsid w:val="00F75476"/>
    <w:rsid w:val="00FA011F"/>
    <w:rsid w:val="00FA36D4"/>
    <w:rsid w:val="00FC6BA7"/>
    <w:rsid w:val="00FD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71"/>
    <w:rPr>
      <w:lang w:val="ro-RO"/>
    </w:rPr>
  </w:style>
  <w:style w:type="paragraph" w:styleId="Titlu1">
    <w:name w:val="heading 1"/>
    <w:basedOn w:val="Normal"/>
    <w:next w:val="Normal"/>
    <w:link w:val="Titlu1Caracter"/>
    <w:qFormat/>
    <w:rsid w:val="006E4D00"/>
    <w:pPr>
      <w:keepNext/>
      <w:spacing w:after="0" w:line="240" w:lineRule="auto"/>
      <w:jc w:val="center"/>
      <w:outlineLvl w:val="0"/>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D2271"/>
    <w:pPr>
      <w:ind w:left="720"/>
      <w:contextualSpacing/>
    </w:pPr>
  </w:style>
  <w:style w:type="paragraph" w:styleId="TextnBalon">
    <w:name w:val="Balloon Text"/>
    <w:basedOn w:val="Normal"/>
    <w:link w:val="TextnBalonCaracter"/>
    <w:uiPriority w:val="99"/>
    <w:semiHidden/>
    <w:unhideWhenUsed/>
    <w:rsid w:val="001223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23C7"/>
    <w:rPr>
      <w:rFonts w:ascii="Tahoma" w:hAnsi="Tahoma" w:cs="Tahoma"/>
      <w:sz w:val="16"/>
      <w:szCs w:val="16"/>
      <w:lang w:val="ro-RO"/>
    </w:rPr>
  </w:style>
  <w:style w:type="paragraph" w:styleId="Titlu">
    <w:name w:val="Title"/>
    <w:basedOn w:val="Normal"/>
    <w:link w:val="TitluCaracter"/>
    <w:qFormat/>
    <w:rsid w:val="009C6510"/>
    <w:pPr>
      <w:spacing w:after="0" w:line="240" w:lineRule="auto"/>
      <w:jc w:val="center"/>
    </w:pPr>
    <w:rPr>
      <w:rFonts w:ascii="Times New Roman" w:eastAsia="Times New Roman" w:hAnsi="Times New Roman" w:cs="Times New Roman"/>
      <w:b/>
      <w:bCs/>
      <w:sz w:val="24"/>
      <w:szCs w:val="24"/>
      <w:lang w:val="en-US" w:eastAsia="ro-RO"/>
    </w:rPr>
  </w:style>
  <w:style w:type="character" w:customStyle="1" w:styleId="TitluCaracter">
    <w:name w:val="Titlu Caracter"/>
    <w:basedOn w:val="Fontdeparagrafimplicit"/>
    <w:link w:val="Titlu"/>
    <w:rsid w:val="009C6510"/>
    <w:rPr>
      <w:rFonts w:ascii="Times New Roman" w:eastAsia="Times New Roman" w:hAnsi="Times New Roman" w:cs="Times New Roman"/>
      <w:b/>
      <w:bCs/>
      <w:sz w:val="24"/>
      <w:szCs w:val="24"/>
      <w:lang w:eastAsia="ro-RO"/>
    </w:rPr>
  </w:style>
  <w:style w:type="paragraph" w:styleId="Corptext2">
    <w:name w:val="Body Text 2"/>
    <w:basedOn w:val="Normal"/>
    <w:link w:val="Corptext2Caracter"/>
    <w:rsid w:val="009C6510"/>
    <w:pPr>
      <w:spacing w:after="0" w:line="240" w:lineRule="auto"/>
      <w:jc w:val="both"/>
    </w:pPr>
    <w:rPr>
      <w:rFonts w:ascii="Times New Roman" w:eastAsia="Times New Roman" w:hAnsi="Times New Roman" w:cs="Times New Roman"/>
      <w:bCs/>
      <w:sz w:val="28"/>
      <w:szCs w:val="24"/>
      <w:lang w:eastAsia="ro-RO"/>
    </w:rPr>
  </w:style>
  <w:style w:type="character" w:customStyle="1" w:styleId="Corptext2Caracter">
    <w:name w:val="Corp text 2 Caracter"/>
    <w:basedOn w:val="Fontdeparagrafimplicit"/>
    <w:link w:val="Corptext2"/>
    <w:rsid w:val="009C6510"/>
    <w:rPr>
      <w:rFonts w:ascii="Times New Roman" w:eastAsia="Times New Roman" w:hAnsi="Times New Roman" w:cs="Times New Roman"/>
      <w:bCs/>
      <w:sz w:val="28"/>
      <w:szCs w:val="24"/>
      <w:lang w:val="ro-RO" w:eastAsia="ro-RO"/>
    </w:rPr>
  </w:style>
  <w:style w:type="table" w:styleId="GrilTabel">
    <w:name w:val="Table Grid"/>
    <w:basedOn w:val="TabelNormal"/>
    <w:uiPriority w:val="59"/>
    <w:rsid w:val="009C6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6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rsid w:val="006E4D00"/>
    <w:rPr>
      <w:rFonts w:ascii="Times New Roman" w:eastAsia="Times New Roman" w:hAnsi="Times New Roman" w:cs="Times New Roman"/>
      <w:b/>
      <w:bCs/>
      <w:sz w:val="24"/>
      <w:szCs w:val="24"/>
      <w:lang w:val="ro-RO" w:eastAsia="ro-RO"/>
    </w:rPr>
  </w:style>
  <w:style w:type="character" w:customStyle="1" w:styleId="hps">
    <w:name w:val="hps"/>
    <w:basedOn w:val="Fontdeparagrafimplicit"/>
    <w:rsid w:val="00485050"/>
  </w:style>
  <w:style w:type="paragraph" w:styleId="Corptext">
    <w:name w:val="Body Text"/>
    <w:basedOn w:val="Normal"/>
    <w:link w:val="CorptextCaracter"/>
    <w:uiPriority w:val="99"/>
    <w:unhideWhenUsed/>
    <w:rsid w:val="006265C2"/>
    <w:pPr>
      <w:spacing w:after="120"/>
    </w:pPr>
  </w:style>
  <w:style w:type="character" w:customStyle="1" w:styleId="CorptextCaracter">
    <w:name w:val="Corp text Caracter"/>
    <w:basedOn w:val="Fontdeparagrafimplicit"/>
    <w:link w:val="Corptext"/>
    <w:uiPriority w:val="99"/>
    <w:rsid w:val="006265C2"/>
    <w:rPr>
      <w:lang w:val="ro-RO"/>
    </w:rPr>
  </w:style>
  <w:style w:type="paragraph" w:styleId="Corptext3">
    <w:name w:val="Body Text 3"/>
    <w:basedOn w:val="Normal"/>
    <w:link w:val="Corptext3Caracter"/>
    <w:uiPriority w:val="99"/>
    <w:unhideWhenUsed/>
    <w:rsid w:val="00427C34"/>
    <w:pPr>
      <w:spacing w:after="120"/>
    </w:pPr>
    <w:rPr>
      <w:sz w:val="16"/>
      <w:szCs w:val="16"/>
    </w:rPr>
  </w:style>
  <w:style w:type="character" w:customStyle="1" w:styleId="Corptext3Caracter">
    <w:name w:val="Corp text 3 Caracter"/>
    <w:basedOn w:val="Fontdeparagrafimplicit"/>
    <w:link w:val="Corptext3"/>
    <w:uiPriority w:val="99"/>
    <w:rsid w:val="00427C34"/>
    <w:rPr>
      <w:sz w:val="16"/>
      <w:szCs w:val="16"/>
      <w:lang w:val="ro-RO"/>
    </w:rPr>
  </w:style>
  <w:style w:type="paragraph" w:styleId="Antet">
    <w:name w:val="header"/>
    <w:basedOn w:val="Normal"/>
    <w:link w:val="AntetCaracter"/>
    <w:uiPriority w:val="99"/>
    <w:unhideWhenUsed/>
    <w:rsid w:val="00D739A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739AB"/>
    <w:rPr>
      <w:lang w:val="ro-RO"/>
    </w:rPr>
  </w:style>
  <w:style w:type="paragraph" w:styleId="Subsol">
    <w:name w:val="footer"/>
    <w:basedOn w:val="Normal"/>
    <w:link w:val="SubsolCaracter"/>
    <w:uiPriority w:val="99"/>
    <w:unhideWhenUsed/>
    <w:rsid w:val="00D739A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739AB"/>
    <w:rPr>
      <w:lang w:val="ro-RO"/>
    </w:rPr>
  </w:style>
  <w:style w:type="character" w:styleId="Hyperlink">
    <w:name w:val="Hyperlink"/>
    <w:basedOn w:val="Fontdeparagrafimplicit"/>
    <w:uiPriority w:val="99"/>
    <w:semiHidden/>
    <w:unhideWhenUsed/>
    <w:rsid w:val="002848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71"/>
    <w:rPr>
      <w:lang w:val="ro-RO"/>
    </w:rPr>
  </w:style>
  <w:style w:type="paragraph" w:styleId="Titlu1">
    <w:name w:val="heading 1"/>
    <w:basedOn w:val="Normal"/>
    <w:next w:val="Normal"/>
    <w:link w:val="Titlu1Caracter"/>
    <w:qFormat/>
    <w:rsid w:val="006E4D00"/>
    <w:pPr>
      <w:keepNext/>
      <w:spacing w:after="0" w:line="240" w:lineRule="auto"/>
      <w:jc w:val="center"/>
      <w:outlineLvl w:val="0"/>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D2271"/>
    <w:pPr>
      <w:ind w:left="720"/>
      <w:contextualSpacing/>
    </w:pPr>
  </w:style>
  <w:style w:type="paragraph" w:styleId="TextnBalon">
    <w:name w:val="Balloon Text"/>
    <w:basedOn w:val="Normal"/>
    <w:link w:val="TextnBalonCaracter"/>
    <w:uiPriority w:val="99"/>
    <w:semiHidden/>
    <w:unhideWhenUsed/>
    <w:rsid w:val="001223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23C7"/>
    <w:rPr>
      <w:rFonts w:ascii="Tahoma" w:hAnsi="Tahoma" w:cs="Tahoma"/>
      <w:sz w:val="16"/>
      <w:szCs w:val="16"/>
      <w:lang w:val="ro-RO"/>
    </w:rPr>
  </w:style>
  <w:style w:type="paragraph" w:styleId="Titlu">
    <w:name w:val="Title"/>
    <w:basedOn w:val="Normal"/>
    <w:link w:val="TitluCaracter"/>
    <w:qFormat/>
    <w:rsid w:val="009C6510"/>
    <w:pPr>
      <w:spacing w:after="0" w:line="240" w:lineRule="auto"/>
      <w:jc w:val="center"/>
    </w:pPr>
    <w:rPr>
      <w:rFonts w:ascii="Times New Roman" w:eastAsia="Times New Roman" w:hAnsi="Times New Roman" w:cs="Times New Roman"/>
      <w:b/>
      <w:bCs/>
      <w:sz w:val="24"/>
      <w:szCs w:val="24"/>
      <w:lang w:val="en-US" w:eastAsia="ro-RO"/>
    </w:rPr>
  </w:style>
  <w:style w:type="character" w:customStyle="1" w:styleId="TitluCaracter">
    <w:name w:val="Titlu Caracter"/>
    <w:basedOn w:val="Fontdeparagrafimplicit"/>
    <w:link w:val="Titlu"/>
    <w:rsid w:val="009C6510"/>
    <w:rPr>
      <w:rFonts w:ascii="Times New Roman" w:eastAsia="Times New Roman" w:hAnsi="Times New Roman" w:cs="Times New Roman"/>
      <w:b/>
      <w:bCs/>
      <w:sz w:val="24"/>
      <w:szCs w:val="24"/>
      <w:lang w:eastAsia="ro-RO"/>
    </w:rPr>
  </w:style>
  <w:style w:type="paragraph" w:styleId="Corptext2">
    <w:name w:val="Body Text 2"/>
    <w:basedOn w:val="Normal"/>
    <w:link w:val="Corptext2Caracter"/>
    <w:rsid w:val="009C6510"/>
    <w:pPr>
      <w:spacing w:after="0" w:line="240" w:lineRule="auto"/>
      <w:jc w:val="both"/>
    </w:pPr>
    <w:rPr>
      <w:rFonts w:ascii="Times New Roman" w:eastAsia="Times New Roman" w:hAnsi="Times New Roman" w:cs="Times New Roman"/>
      <w:bCs/>
      <w:sz w:val="28"/>
      <w:szCs w:val="24"/>
      <w:lang w:eastAsia="ro-RO"/>
    </w:rPr>
  </w:style>
  <w:style w:type="character" w:customStyle="1" w:styleId="Corptext2Caracter">
    <w:name w:val="Corp text 2 Caracter"/>
    <w:basedOn w:val="Fontdeparagrafimplicit"/>
    <w:link w:val="Corptext2"/>
    <w:rsid w:val="009C6510"/>
    <w:rPr>
      <w:rFonts w:ascii="Times New Roman" w:eastAsia="Times New Roman" w:hAnsi="Times New Roman" w:cs="Times New Roman"/>
      <w:bCs/>
      <w:sz w:val="28"/>
      <w:szCs w:val="24"/>
      <w:lang w:val="ro-RO" w:eastAsia="ro-RO"/>
    </w:rPr>
  </w:style>
  <w:style w:type="table" w:styleId="GrilTabel">
    <w:name w:val="Table Grid"/>
    <w:basedOn w:val="TabelNormal"/>
    <w:uiPriority w:val="59"/>
    <w:rsid w:val="009C6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6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rsid w:val="006E4D00"/>
    <w:rPr>
      <w:rFonts w:ascii="Times New Roman" w:eastAsia="Times New Roman" w:hAnsi="Times New Roman" w:cs="Times New Roman"/>
      <w:b/>
      <w:bCs/>
      <w:sz w:val="24"/>
      <w:szCs w:val="24"/>
      <w:lang w:val="ro-RO" w:eastAsia="ro-RO"/>
    </w:rPr>
  </w:style>
  <w:style w:type="character" w:customStyle="1" w:styleId="hps">
    <w:name w:val="hps"/>
    <w:basedOn w:val="Fontdeparagrafimplicit"/>
    <w:rsid w:val="00485050"/>
  </w:style>
  <w:style w:type="paragraph" w:styleId="Corptext">
    <w:name w:val="Body Text"/>
    <w:basedOn w:val="Normal"/>
    <w:link w:val="CorptextCaracter"/>
    <w:uiPriority w:val="99"/>
    <w:unhideWhenUsed/>
    <w:rsid w:val="006265C2"/>
    <w:pPr>
      <w:spacing w:after="120"/>
    </w:pPr>
  </w:style>
  <w:style w:type="character" w:customStyle="1" w:styleId="CorptextCaracter">
    <w:name w:val="Corp text Caracter"/>
    <w:basedOn w:val="Fontdeparagrafimplicit"/>
    <w:link w:val="Corptext"/>
    <w:uiPriority w:val="99"/>
    <w:rsid w:val="006265C2"/>
    <w:rPr>
      <w:lang w:val="ro-RO"/>
    </w:rPr>
  </w:style>
  <w:style w:type="paragraph" w:styleId="Corptext3">
    <w:name w:val="Body Text 3"/>
    <w:basedOn w:val="Normal"/>
    <w:link w:val="Corptext3Caracter"/>
    <w:uiPriority w:val="99"/>
    <w:unhideWhenUsed/>
    <w:rsid w:val="00427C34"/>
    <w:pPr>
      <w:spacing w:after="120"/>
    </w:pPr>
    <w:rPr>
      <w:sz w:val="16"/>
      <w:szCs w:val="16"/>
    </w:rPr>
  </w:style>
  <w:style w:type="character" w:customStyle="1" w:styleId="Corptext3Caracter">
    <w:name w:val="Corp text 3 Caracter"/>
    <w:basedOn w:val="Fontdeparagrafimplicit"/>
    <w:link w:val="Corptext3"/>
    <w:uiPriority w:val="99"/>
    <w:rsid w:val="00427C34"/>
    <w:rPr>
      <w:sz w:val="16"/>
      <w:szCs w:val="16"/>
      <w:lang w:val="ro-RO"/>
    </w:rPr>
  </w:style>
  <w:style w:type="paragraph" w:styleId="Antet">
    <w:name w:val="header"/>
    <w:basedOn w:val="Normal"/>
    <w:link w:val="AntetCaracter"/>
    <w:uiPriority w:val="99"/>
    <w:unhideWhenUsed/>
    <w:rsid w:val="00D739A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739AB"/>
    <w:rPr>
      <w:lang w:val="ro-RO"/>
    </w:rPr>
  </w:style>
  <w:style w:type="paragraph" w:styleId="Subsol">
    <w:name w:val="footer"/>
    <w:basedOn w:val="Normal"/>
    <w:link w:val="SubsolCaracter"/>
    <w:uiPriority w:val="99"/>
    <w:unhideWhenUsed/>
    <w:rsid w:val="00D739A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739AB"/>
    <w:rPr>
      <w:lang w:val="ro-RO"/>
    </w:rPr>
  </w:style>
  <w:style w:type="character" w:styleId="Hyperlink">
    <w:name w:val="Hyperlink"/>
    <w:basedOn w:val="Fontdeparagrafimplicit"/>
    <w:uiPriority w:val="99"/>
    <w:semiHidden/>
    <w:unhideWhenUsed/>
    <w:rsid w:val="00284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tf-gafi.org/publications/high-riskandnon-cooperativejurisdictions/documents/fatf-compliance-february-2018.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tf-gafi.org/publications/high-riskandnon-cooperativejurisdictions/documents/fatf-compliance-february-2018.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tf-gafi.org/publications/high-riskandnon-cooperativejurisdictions/documents/fatf-compliance-february-201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f-gafi.org/publications/high-riskandnon-cooperativejurisdictions/documents/fatf-compliance-february-2018.html" TargetMode="External"/><Relationship Id="rId5" Type="http://schemas.openxmlformats.org/officeDocument/2006/relationships/webSettings" Target="webSettings.xml"/><Relationship Id="rId15" Type="http://schemas.openxmlformats.org/officeDocument/2006/relationships/hyperlink" Target="http://www.fatf-gafi.org/publications/high-riskandnon-cooperativejurisdictions/documents/fatf-compliance-february-2018.html" TargetMode="External"/><Relationship Id="rId10" Type="http://schemas.openxmlformats.org/officeDocument/2006/relationships/hyperlink" Target="http://www.fatf-gafi.org/publications/high-riskandnon-cooperativejurisdictions/documents/fatf-compliance-february-201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tf-gafi.org/publications/high-riskandnon-cooperativejurisdictions/documents/fatf-compliance-february-2018.html" TargetMode="External"/><Relationship Id="rId14" Type="http://schemas.openxmlformats.org/officeDocument/2006/relationships/hyperlink" Target="http://www.fatf-gafi.org/publications/high-riskandnon-cooperativejurisdictions/documents/fatf-compliance-february-2018.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95D0-B38A-4239-AA1A-6DD8A5AA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2301</Words>
  <Characters>13116</Characters>
  <Application>Microsoft Office Word</Application>
  <DocSecurity>0</DocSecurity>
  <Lines>109</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statie1</dc:creator>
  <cp:lastModifiedBy>statie1</cp:lastModifiedBy>
  <cp:revision>6</cp:revision>
  <cp:lastPrinted>2016-08-22T06:03:00Z</cp:lastPrinted>
  <dcterms:created xsi:type="dcterms:W3CDTF">2018-05-09T13:13:00Z</dcterms:created>
  <dcterms:modified xsi:type="dcterms:W3CDTF">2018-05-10T07:10:00Z</dcterms:modified>
</cp:coreProperties>
</file>