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169" w:rsidRPr="00A51E88" w:rsidRDefault="00781B32" w:rsidP="00001169">
      <w:pPr>
        <w:pStyle w:val="NormalWeb"/>
        <w:spacing w:before="0" w:after="0"/>
        <w:jc w:val="center"/>
        <w:rPr>
          <w:b/>
          <w:bCs/>
          <w:sz w:val="28"/>
          <w:szCs w:val="28"/>
        </w:rPr>
      </w:pPr>
      <w:r w:rsidRPr="00A51E88">
        <w:rPr>
          <w:b/>
          <w:bCs/>
          <w:sz w:val="28"/>
          <w:szCs w:val="28"/>
        </w:rPr>
        <w:t>ORDONANŢĂ DE URGENŢĂ</w:t>
      </w:r>
    </w:p>
    <w:p w:rsidR="00781B32" w:rsidRPr="00A51E88" w:rsidRDefault="00781B32" w:rsidP="00001169">
      <w:pPr>
        <w:pStyle w:val="NormalWeb"/>
        <w:spacing w:before="0" w:after="0"/>
        <w:jc w:val="center"/>
        <w:rPr>
          <w:b/>
          <w:bCs/>
          <w:sz w:val="28"/>
          <w:szCs w:val="28"/>
        </w:rPr>
      </w:pPr>
    </w:p>
    <w:p w:rsidR="00001169" w:rsidRPr="00A51E88" w:rsidRDefault="00001169" w:rsidP="00001169">
      <w:pPr>
        <w:pStyle w:val="NormalWeb"/>
        <w:spacing w:before="0" w:after="0"/>
        <w:jc w:val="center"/>
        <w:rPr>
          <w:rStyle w:val="rvts17"/>
          <w:b/>
          <w:bCs/>
          <w:iCs/>
          <w:sz w:val="28"/>
          <w:szCs w:val="28"/>
        </w:rPr>
      </w:pPr>
      <w:r w:rsidRPr="00A51E88">
        <w:rPr>
          <w:b/>
          <w:bCs/>
          <w:sz w:val="28"/>
          <w:szCs w:val="28"/>
        </w:rPr>
        <w:t xml:space="preserve">privind modificarea Legii nr. 129/2019 </w:t>
      </w:r>
      <w:r w:rsidRPr="00A51E88">
        <w:rPr>
          <w:rStyle w:val="rvts17"/>
          <w:b/>
          <w:bCs/>
          <w:iCs/>
          <w:sz w:val="28"/>
          <w:szCs w:val="28"/>
        </w:rPr>
        <w:t xml:space="preserve">pentru prevenirea şi combaterea spălării banilor şi finanțării terorismului, precum și pentru modificarea și completarea unor acte normative, cu modificările și completările </w:t>
      </w:r>
      <w:r w:rsidR="00A51E88" w:rsidRPr="00A51E88">
        <w:rPr>
          <w:rStyle w:val="rvts17"/>
          <w:b/>
          <w:bCs/>
          <w:iCs/>
          <w:sz w:val="28"/>
          <w:szCs w:val="28"/>
        </w:rPr>
        <w:t>ulterioare</w:t>
      </w:r>
    </w:p>
    <w:p w:rsidR="00001169" w:rsidRPr="00A51E88" w:rsidRDefault="00001169" w:rsidP="00001169">
      <w:pPr>
        <w:suppressAutoHyphens w:val="0"/>
        <w:autoSpaceDE w:val="0"/>
        <w:autoSpaceDN w:val="0"/>
        <w:adjustRightInd w:val="0"/>
        <w:ind w:firstLine="567"/>
        <w:jc w:val="both"/>
        <w:rPr>
          <w:sz w:val="28"/>
          <w:szCs w:val="28"/>
        </w:rPr>
      </w:pPr>
    </w:p>
    <w:p w:rsidR="00001169" w:rsidRPr="00A51E88" w:rsidRDefault="00001169" w:rsidP="00001169">
      <w:pPr>
        <w:tabs>
          <w:tab w:val="left" w:pos="0"/>
        </w:tabs>
        <w:autoSpaceDE w:val="0"/>
        <w:autoSpaceDN w:val="0"/>
        <w:adjustRightInd w:val="0"/>
        <w:contextualSpacing/>
        <w:jc w:val="both"/>
        <w:rPr>
          <w:i/>
          <w:sz w:val="28"/>
          <w:szCs w:val="28"/>
        </w:rPr>
      </w:pPr>
      <w:r w:rsidRPr="00A51E88">
        <w:rPr>
          <w:sz w:val="28"/>
          <w:szCs w:val="28"/>
        </w:rPr>
        <w:tab/>
        <w:t>Având în vedere faptul că, la data de 18 decembrie  2019</w:t>
      </w:r>
      <w:r w:rsidRPr="00A51E88">
        <w:rPr>
          <w:iCs/>
          <w:sz w:val="28"/>
          <w:szCs w:val="28"/>
        </w:rPr>
        <w:t xml:space="preserve">, a fost publicată în Jurnalul Oficial al Uniunii Europene </w:t>
      </w:r>
      <w:r w:rsidRPr="00A51E88">
        <w:rPr>
          <w:i/>
          <w:sz w:val="28"/>
          <w:szCs w:val="28"/>
        </w:rPr>
        <w:t xml:space="preserve">Directiva (UE) </w:t>
      </w:r>
      <w:r w:rsidRPr="00A51E88">
        <w:rPr>
          <w:sz w:val="28"/>
          <w:szCs w:val="28"/>
        </w:rPr>
        <w:t>2019/2177 a Parlamentului European și a Consiliului de modificare a Directivei 2009/138/CE privind accesul la activitate și desfășurarea activității de asigurare și de reasigurare (Solvabilitate II), a Directivei 2014/65/UE privind piețele instrumentelor financiare și a Directivei (UE) 2015/849 privind prevenirea utilizării sistemului financiar în scopul spălării banilor sau finanțării terorismului,</w:t>
      </w:r>
    </w:p>
    <w:p w:rsidR="00001169" w:rsidRPr="00A51E88" w:rsidRDefault="00001169" w:rsidP="00001169">
      <w:pPr>
        <w:tabs>
          <w:tab w:val="left" w:pos="0"/>
        </w:tabs>
        <w:autoSpaceDE w:val="0"/>
        <w:autoSpaceDN w:val="0"/>
        <w:adjustRightInd w:val="0"/>
        <w:contextualSpacing/>
        <w:jc w:val="both"/>
        <w:rPr>
          <w:i/>
          <w:iCs/>
          <w:sz w:val="28"/>
          <w:szCs w:val="28"/>
        </w:rPr>
      </w:pPr>
    </w:p>
    <w:p w:rsidR="00001169" w:rsidRPr="00A51E88" w:rsidRDefault="00001169" w:rsidP="00001169">
      <w:pPr>
        <w:tabs>
          <w:tab w:val="left" w:pos="0"/>
        </w:tabs>
        <w:autoSpaceDE w:val="0"/>
        <w:autoSpaceDN w:val="0"/>
        <w:adjustRightInd w:val="0"/>
        <w:contextualSpacing/>
        <w:jc w:val="both"/>
        <w:rPr>
          <w:iCs/>
          <w:sz w:val="28"/>
          <w:szCs w:val="28"/>
        </w:rPr>
      </w:pPr>
      <w:r w:rsidRPr="00A51E88">
        <w:rPr>
          <w:iCs/>
          <w:sz w:val="28"/>
          <w:szCs w:val="28"/>
        </w:rPr>
        <w:tab/>
        <w:t xml:space="preserve">Ținând cont de faptul că Directiva </w:t>
      </w:r>
      <w:r w:rsidRPr="00A51E88">
        <w:rPr>
          <w:i/>
          <w:sz w:val="28"/>
          <w:szCs w:val="28"/>
        </w:rPr>
        <w:t xml:space="preserve">(UE) </w:t>
      </w:r>
      <w:r w:rsidRPr="00A51E88">
        <w:rPr>
          <w:sz w:val="28"/>
          <w:szCs w:val="28"/>
        </w:rPr>
        <w:t xml:space="preserve">2019/2177 </w:t>
      </w:r>
      <w:r w:rsidRPr="00A51E88">
        <w:rPr>
          <w:sz w:val="28"/>
          <w:szCs w:val="28"/>
          <w:shd w:val="clear" w:color="auto" w:fill="FFFFFF"/>
        </w:rPr>
        <w:t xml:space="preserve">aduce modificări Directivei </w:t>
      </w:r>
      <w:r w:rsidRPr="00A51E88">
        <w:rPr>
          <w:sz w:val="28"/>
          <w:szCs w:val="28"/>
        </w:rPr>
        <w:t xml:space="preserve">(UE) 2015/849 </w:t>
      </w:r>
      <w:r w:rsidRPr="00A51E88">
        <w:rPr>
          <w:i/>
          <w:iCs/>
          <w:sz w:val="28"/>
          <w:szCs w:val="28"/>
        </w:rPr>
        <w:t xml:space="preserve">a Parlamentului European și a Consiliului privind prevenirea utilizării sistemului financiar în scopul spălării banilor sau finanțării terorismului, </w:t>
      </w:r>
      <w:r w:rsidRPr="00A51E88">
        <w:rPr>
          <w:iCs/>
          <w:sz w:val="28"/>
          <w:szCs w:val="28"/>
        </w:rPr>
        <w:t>care constituie principalul instrument juridic pentru prevenirea utilizării sistemului financiar al Uniunii în scopul spălării banilor și al finanțării terorismului ce stabilește un cadru juridic  eficient și cuprinzător pentru abordarea colectării de bani sau de bunuri în scopuri teroriste, prin impunerea obligației ca statele membre să identifice, să înțeleagă și să atenueze riscurile legate de spălarea banilor și finanțarea terorismului,</w:t>
      </w:r>
    </w:p>
    <w:p w:rsidR="00001169" w:rsidRPr="00A51E88" w:rsidRDefault="00001169" w:rsidP="00001169">
      <w:pPr>
        <w:tabs>
          <w:tab w:val="left" w:pos="0"/>
        </w:tabs>
        <w:autoSpaceDE w:val="0"/>
        <w:autoSpaceDN w:val="0"/>
        <w:adjustRightInd w:val="0"/>
        <w:contextualSpacing/>
        <w:jc w:val="both"/>
        <w:rPr>
          <w:iCs/>
          <w:sz w:val="28"/>
          <w:szCs w:val="28"/>
        </w:rPr>
      </w:pPr>
    </w:p>
    <w:p w:rsidR="006757DA" w:rsidRPr="00A51E88" w:rsidRDefault="00001169" w:rsidP="00001169">
      <w:pPr>
        <w:tabs>
          <w:tab w:val="left" w:pos="0"/>
        </w:tabs>
        <w:autoSpaceDE w:val="0"/>
        <w:autoSpaceDN w:val="0"/>
        <w:adjustRightInd w:val="0"/>
        <w:contextualSpacing/>
        <w:jc w:val="both"/>
        <w:rPr>
          <w:b/>
          <w:sz w:val="28"/>
          <w:szCs w:val="28"/>
          <w:u w:val="single"/>
        </w:rPr>
      </w:pPr>
      <w:r w:rsidRPr="00A51E88">
        <w:rPr>
          <w:iCs/>
          <w:sz w:val="28"/>
          <w:szCs w:val="28"/>
        </w:rPr>
        <w:tab/>
        <w:t>Luând în considerare modificările aduse prin Directiva (UE)</w:t>
      </w:r>
      <w:r w:rsidR="00160AC6" w:rsidRPr="00A51E88">
        <w:rPr>
          <w:iCs/>
          <w:sz w:val="28"/>
          <w:szCs w:val="28"/>
        </w:rPr>
        <w:t xml:space="preserve"> </w:t>
      </w:r>
      <w:r w:rsidRPr="00A51E88">
        <w:rPr>
          <w:iCs/>
          <w:sz w:val="28"/>
          <w:szCs w:val="28"/>
        </w:rPr>
        <w:t>2019/2177</w:t>
      </w:r>
      <w:r w:rsidR="006757DA" w:rsidRPr="00A51E88">
        <w:rPr>
          <w:iCs/>
          <w:sz w:val="28"/>
          <w:szCs w:val="28"/>
        </w:rPr>
        <w:t xml:space="preserve">, respectiv, </w:t>
      </w:r>
      <w:r w:rsidR="006757DA" w:rsidRPr="00A51E88">
        <w:rPr>
          <w:b/>
          <w:iCs/>
          <w:sz w:val="28"/>
          <w:szCs w:val="28"/>
          <w:u w:val="single"/>
        </w:rPr>
        <w:t>ca</w:t>
      </w:r>
      <w:r w:rsidRPr="00A51E88">
        <w:rPr>
          <w:b/>
          <w:sz w:val="28"/>
          <w:szCs w:val="28"/>
          <w:u w:val="single"/>
        </w:rPr>
        <w:t xml:space="preserve"> urmare a modificării Regulamentului (UE) nr. 1093/2010</w:t>
      </w:r>
      <w:r w:rsidRPr="00A51E88">
        <w:rPr>
          <w:b/>
          <w:sz w:val="28"/>
          <w:szCs w:val="28"/>
        </w:rPr>
        <w:t xml:space="preserve"> </w:t>
      </w:r>
      <w:r w:rsidRPr="00A51E88">
        <w:rPr>
          <w:sz w:val="28"/>
          <w:szCs w:val="28"/>
        </w:rPr>
        <w:t>al Parlamentului European și al Consiliului,</w:t>
      </w:r>
      <w:r w:rsidRPr="00A51E88">
        <w:rPr>
          <w:b/>
          <w:sz w:val="28"/>
          <w:szCs w:val="28"/>
        </w:rPr>
        <w:t xml:space="preserve"> </w:t>
      </w:r>
      <w:r w:rsidRPr="00A51E88">
        <w:rPr>
          <w:b/>
          <w:sz w:val="28"/>
          <w:szCs w:val="28"/>
          <w:u w:val="single"/>
        </w:rPr>
        <w:t>Autoritatea europeană de supraveghere (Autoritatea bancară europeană)</w:t>
      </w:r>
      <w:r w:rsidRPr="00A51E88">
        <w:rPr>
          <w:b/>
          <w:sz w:val="28"/>
          <w:szCs w:val="28"/>
        </w:rPr>
        <w:t xml:space="preserve"> instituită prin regulamentul menționat </w:t>
      </w:r>
      <w:r w:rsidRPr="00A51E88">
        <w:rPr>
          <w:b/>
          <w:sz w:val="28"/>
          <w:szCs w:val="28"/>
          <w:u w:val="single"/>
        </w:rPr>
        <w:t>(ABE),</w:t>
      </w:r>
      <w:r w:rsidRPr="00A51E88">
        <w:rPr>
          <w:b/>
          <w:sz w:val="28"/>
          <w:szCs w:val="28"/>
        </w:rPr>
        <w:t xml:space="preserve"> </w:t>
      </w:r>
      <w:r w:rsidRPr="00A51E88">
        <w:rPr>
          <w:b/>
          <w:sz w:val="28"/>
          <w:szCs w:val="28"/>
          <w:u w:val="single"/>
        </w:rPr>
        <w:t xml:space="preserve">va avea un rol nou în prevenirea utilizării sistemului financiar în scopul spălării banilor sau finanțării terorismului, </w:t>
      </w:r>
    </w:p>
    <w:p w:rsidR="006757DA" w:rsidRPr="00A51E88" w:rsidRDefault="006757DA" w:rsidP="00001169">
      <w:pPr>
        <w:tabs>
          <w:tab w:val="left" w:pos="0"/>
        </w:tabs>
        <w:autoSpaceDE w:val="0"/>
        <w:autoSpaceDN w:val="0"/>
        <w:adjustRightInd w:val="0"/>
        <w:contextualSpacing/>
        <w:jc w:val="both"/>
        <w:rPr>
          <w:iCs/>
          <w:sz w:val="28"/>
          <w:szCs w:val="28"/>
        </w:rPr>
      </w:pPr>
    </w:p>
    <w:p w:rsidR="006757DA" w:rsidRPr="00A51E88" w:rsidRDefault="00001169" w:rsidP="00001169">
      <w:pPr>
        <w:tabs>
          <w:tab w:val="left" w:pos="0"/>
        </w:tabs>
        <w:autoSpaceDE w:val="0"/>
        <w:autoSpaceDN w:val="0"/>
        <w:adjustRightInd w:val="0"/>
        <w:contextualSpacing/>
        <w:jc w:val="both"/>
        <w:rPr>
          <w:sz w:val="28"/>
          <w:szCs w:val="28"/>
        </w:rPr>
      </w:pPr>
      <w:r w:rsidRPr="00A51E88">
        <w:rPr>
          <w:sz w:val="28"/>
          <w:szCs w:val="28"/>
        </w:rPr>
        <w:tab/>
        <w:t>Având în vedere că România, în calitate de stat membru al Uniunii Europene, trebuie să adopte măsuri în vederea îndeplinirii angajamentelor asumate în cadrul Tratatului de aderare la Uniunea Europeană</w:t>
      </w:r>
      <w:r w:rsidR="006757DA" w:rsidRPr="00A51E88">
        <w:rPr>
          <w:sz w:val="28"/>
          <w:szCs w:val="28"/>
        </w:rPr>
        <w:t>,</w:t>
      </w:r>
    </w:p>
    <w:p w:rsidR="006757DA" w:rsidRPr="00A51E88" w:rsidRDefault="006757DA" w:rsidP="00001169">
      <w:pPr>
        <w:tabs>
          <w:tab w:val="left" w:pos="0"/>
        </w:tabs>
        <w:autoSpaceDE w:val="0"/>
        <w:autoSpaceDN w:val="0"/>
        <w:adjustRightInd w:val="0"/>
        <w:contextualSpacing/>
        <w:jc w:val="both"/>
        <w:rPr>
          <w:sz w:val="28"/>
          <w:szCs w:val="28"/>
        </w:rPr>
      </w:pPr>
    </w:p>
    <w:p w:rsidR="00001169" w:rsidRPr="00A51E88" w:rsidRDefault="00001169" w:rsidP="00001169">
      <w:pPr>
        <w:tabs>
          <w:tab w:val="left" w:pos="0"/>
        </w:tabs>
        <w:autoSpaceDE w:val="0"/>
        <w:autoSpaceDN w:val="0"/>
        <w:adjustRightInd w:val="0"/>
        <w:contextualSpacing/>
        <w:jc w:val="both"/>
        <w:rPr>
          <w:sz w:val="28"/>
          <w:szCs w:val="28"/>
        </w:rPr>
      </w:pPr>
      <w:r w:rsidRPr="00A51E88">
        <w:rPr>
          <w:sz w:val="28"/>
          <w:szCs w:val="28"/>
        </w:rPr>
        <w:tab/>
        <w:t>Luând în considerare măsurile la nivelul Uniunii Europene care ar trebui, să reflecte evoluțiile și angajamentele asumate la nivel internațional prin luarea în considerare Rezoluțiilor Consiliului de Securitate al ONU privind amenințările la adresa securității internaționale,</w:t>
      </w:r>
    </w:p>
    <w:p w:rsidR="00556327" w:rsidRPr="00A51E88" w:rsidRDefault="006757DA" w:rsidP="00001169">
      <w:pPr>
        <w:tabs>
          <w:tab w:val="left" w:pos="0"/>
        </w:tabs>
        <w:autoSpaceDE w:val="0"/>
        <w:autoSpaceDN w:val="0"/>
        <w:adjustRightInd w:val="0"/>
        <w:contextualSpacing/>
        <w:jc w:val="both"/>
        <w:rPr>
          <w:sz w:val="28"/>
          <w:szCs w:val="28"/>
        </w:rPr>
      </w:pPr>
      <w:r w:rsidRPr="00A51E88">
        <w:rPr>
          <w:sz w:val="28"/>
          <w:szCs w:val="28"/>
        </w:rPr>
        <w:tab/>
      </w:r>
    </w:p>
    <w:p w:rsidR="00160AC6" w:rsidRPr="00A51E88" w:rsidRDefault="00160AC6" w:rsidP="00160AC6">
      <w:pPr>
        <w:pStyle w:val="Corptext"/>
        <w:spacing w:before="120"/>
        <w:ind w:firstLine="709"/>
        <w:jc w:val="both"/>
        <w:rPr>
          <w:rStyle w:val="rvts17"/>
          <w:rFonts w:ascii="Times New Roman" w:hAnsi="Times New Roman"/>
          <w:b w:val="0"/>
          <w:bCs/>
          <w:iCs/>
          <w:sz w:val="28"/>
          <w:szCs w:val="28"/>
          <w:lang w:val="ro-RO"/>
        </w:rPr>
      </w:pPr>
      <w:r w:rsidRPr="00A51E88">
        <w:rPr>
          <w:rStyle w:val="rvts17"/>
          <w:rFonts w:ascii="Times New Roman" w:hAnsi="Times New Roman"/>
          <w:b w:val="0"/>
          <w:bCs/>
          <w:iCs/>
          <w:sz w:val="28"/>
          <w:szCs w:val="28"/>
          <w:lang w:val="ro-RO"/>
        </w:rPr>
        <w:t xml:space="preserve">Ținând cont de faptul că prevenirea și combaterea spălării banilor și a finanțării terorismului constituie o prioritate la nivelul Comisiei Europene, iar România a fost deja condamnată de Curtea de Justiție a Uniunii Europene, în Cauza C-549/18, la plata unei sume forfetare de 3.000.000 euro pentru netranspunerae Directivei (UE) 2015/849 </w:t>
      </w:r>
      <w:r w:rsidRPr="00A51E88">
        <w:rPr>
          <w:rFonts w:ascii="Times New Roman" w:hAnsi="Times New Roman"/>
          <w:b w:val="0"/>
          <w:iCs/>
          <w:sz w:val="28"/>
          <w:szCs w:val="28"/>
        </w:rPr>
        <w:t xml:space="preserve">a Parlamentului European și a </w:t>
      </w:r>
      <w:r w:rsidRPr="00A51E88">
        <w:rPr>
          <w:rFonts w:ascii="Times New Roman" w:hAnsi="Times New Roman"/>
          <w:b w:val="0"/>
          <w:iCs/>
          <w:sz w:val="28"/>
          <w:szCs w:val="28"/>
        </w:rPr>
        <w:lastRenderedPageBreak/>
        <w:t>Consiliului privind prevenirea utilizării sistemului financiar în scopul spălării banilor sau finanțării terorismului</w:t>
      </w:r>
      <w:r w:rsidRPr="00A51E88">
        <w:rPr>
          <w:rFonts w:ascii="Times New Roman" w:hAnsi="Times New Roman"/>
          <w:b w:val="0"/>
          <w:iCs/>
          <w:sz w:val="28"/>
          <w:szCs w:val="28"/>
          <w:lang w:val="ro-RO"/>
        </w:rPr>
        <w:t>,</w:t>
      </w:r>
    </w:p>
    <w:p w:rsidR="00160AC6" w:rsidRPr="00A51E88" w:rsidRDefault="00160AC6" w:rsidP="00160AC6">
      <w:pPr>
        <w:tabs>
          <w:tab w:val="left" w:pos="0"/>
        </w:tabs>
        <w:autoSpaceDE w:val="0"/>
        <w:autoSpaceDN w:val="0"/>
        <w:adjustRightInd w:val="0"/>
        <w:ind w:firstLine="567"/>
        <w:jc w:val="both"/>
        <w:rPr>
          <w:rStyle w:val="Accentuat"/>
          <w:sz w:val="28"/>
          <w:szCs w:val="28"/>
        </w:rPr>
      </w:pPr>
    </w:p>
    <w:p w:rsidR="00001169" w:rsidRPr="00A51E88" w:rsidRDefault="00001169" w:rsidP="00001169">
      <w:pPr>
        <w:tabs>
          <w:tab w:val="left" w:pos="0"/>
        </w:tabs>
        <w:autoSpaceDE w:val="0"/>
        <w:autoSpaceDN w:val="0"/>
        <w:adjustRightInd w:val="0"/>
        <w:contextualSpacing/>
        <w:jc w:val="both"/>
        <w:rPr>
          <w:sz w:val="28"/>
          <w:szCs w:val="28"/>
        </w:rPr>
      </w:pPr>
      <w:r w:rsidRPr="00A51E88">
        <w:rPr>
          <w:sz w:val="28"/>
          <w:szCs w:val="28"/>
        </w:rPr>
        <w:tab/>
        <w:t xml:space="preserve">De asemenea, având în vedere </w:t>
      </w:r>
      <w:r w:rsidRPr="00A51E88">
        <w:rPr>
          <w:b/>
          <w:sz w:val="28"/>
          <w:szCs w:val="28"/>
        </w:rPr>
        <w:t>monitorizarea</w:t>
      </w:r>
      <w:r w:rsidRPr="00A51E88">
        <w:rPr>
          <w:sz w:val="28"/>
          <w:szCs w:val="28"/>
        </w:rPr>
        <w:t xml:space="preserve">, sub aspectul luptei împotriva spălării banilor și finanțării terorismului de organismele internaționale – </w:t>
      </w:r>
      <w:r w:rsidRPr="00A51E88">
        <w:rPr>
          <w:b/>
          <w:sz w:val="28"/>
          <w:szCs w:val="28"/>
        </w:rPr>
        <w:t>Comitetul Moneyval din cadrul Consiliului Europei</w:t>
      </w:r>
      <w:r w:rsidRPr="00A51E88">
        <w:rPr>
          <w:sz w:val="28"/>
          <w:szCs w:val="28"/>
        </w:rPr>
        <w:t xml:space="preserve">, </w:t>
      </w:r>
      <w:r w:rsidRPr="00A51E88">
        <w:rPr>
          <w:b/>
          <w:sz w:val="28"/>
          <w:szCs w:val="28"/>
        </w:rPr>
        <w:t>ce evaluează mai mult decât simpla transpunere a directivelor europene, respectiv evaluează conformitatea față de standardele internaționale (Recomandările FATF</w:t>
      </w:r>
      <w:r w:rsidRPr="00A51E88">
        <w:rPr>
          <w:sz w:val="28"/>
          <w:szCs w:val="28"/>
        </w:rPr>
        <w:t>); în acest context, este important de menționat faptul că, din anul 2013, FATF a emis noua Metodologie de evaluare a statelor care se concentrează nu atât pe implementarea din punct de vedere legislativ a Recomandărilor, cât pe analiza eficienței sistemelor naționale, respectiv pe analiza funcționalității normelor naționale consacrate prin acte normative,</w:t>
      </w:r>
    </w:p>
    <w:p w:rsidR="003364D3" w:rsidRPr="00A51E88" w:rsidRDefault="003364D3" w:rsidP="00001169">
      <w:pPr>
        <w:tabs>
          <w:tab w:val="left" w:pos="0"/>
        </w:tabs>
        <w:autoSpaceDE w:val="0"/>
        <w:autoSpaceDN w:val="0"/>
        <w:adjustRightInd w:val="0"/>
        <w:contextualSpacing/>
        <w:jc w:val="both"/>
        <w:rPr>
          <w:sz w:val="28"/>
          <w:szCs w:val="28"/>
          <w:shd w:val="clear" w:color="auto" w:fill="FFFFFF"/>
        </w:rPr>
      </w:pPr>
    </w:p>
    <w:p w:rsidR="00001169" w:rsidRPr="00A51E88" w:rsidRDefault="00001169" w:rsidP="00001169">
      <w:pPr>
        <w:ind w:firstLine="567"/>
        <w:jc w:val="both"/>
        <w:rPr>
          <w:b/>
          <w:bCs/>
          <w:i/>
          <w:iCs/>
          <w:sz w:val="28"/>
          <w:szCs w:val="28"/>
        </w:rPr>
      </w:pPr>
      <w:r w:rsidRPr="00A51E88">
        <w:rPr>
          <w:iCs/>
          <w:sz w:val="28"/>
          <w:szCs w:val="28"/>
        </w:rPr>
        <w:tab/>
      </w:r>
      <w:r w:rsidRPr="00A51E88">
        <w:rPr>
          <w:bCs/>
          <w:iCs/>
          <w:sz w:val="28"/>
          <w:szCs w:val="28"/>
        </w:rPr>
        <w:t>În vederea evitării impunerii sancțiunilor împotriva României conform art.</w:t>
      </w:r>
      <w:r w:rsidR="00160AC6" w:rsidRPr="00A51E88">
        <w:rPr>
          <w:bCs/>
          <w:iCs/>
          <w:sz w:val="28"/>
          <w:szCs w:val="28"/>
        </w:rPr>
        <w:t xml:space="preserve"> </w:t>
      </w:r>
      <w:r w:rsidRPr="00A51E88">
        <w:rPr>
          <w:bCs/>
          <w:iCs/>
          <w:sz w:val="28"/>
          <w:szCs w:val="28"/>
        </w:rPr>
        <w:t xml:space="preserve">260 alin.(3) din Tratatul privind funcționarea Uniunii Europene care accelerează mecanismul de impunere a sancțiunilor pecuniare în cazul în care Comisia Europeană sesizează Curtea de Justiție a Uniunii Europene cu privire la faptul că România nu și-a îndeplinit obligația de a comunica măsurile de transpunere a unei directive în conformitate cu o procedură legislativă, </w:t>
      </w:r>
      <w:r w:rsidRPr="00A51E88">
        <w:rPr>
          <w:b/>
          <w:bCs/>
          <w:i/>
          <w:iCs/>
          <w:sz w:val="28"/>
          <w:szCs w:val="28"/>
        </w:rPr>
        <w:t>având în vedere Comunicarea C(2016)8600 potrivit căreia Comisia Europeană va solicita Curții de Justiție a Uniunii Europene să aplice statelor membre care depășesc termenul de transpunere a directivelor, atât o sumă forfetară care, în cazul României, potrivit Comunicării COM [2019/C309/1] va fi de minim 1.651.000 euro, cât și penalități cu titlu cominatoriu între 1.994 euro şi 119.654 euro/zi,</w:t>
      </w:r>
    </w:p>
    <w:p w:rsidR="003364D3" w:rsidRPr="00A51E88" w:rsidRDefault="003364D3" w:rsidP="00001169">
      <w:pPr>
        <w:ind w:firstLine="567"/>
        <w:jc w:val="both"/>
        <w:rPr>
          <w:b/>
          <w:bCs/>
          <w:i/>
          <w:iCs/>
          <w:sz w:val="28"/>
          <w:szCs w:val="28"/>
        </w:rPr>
      </w:pPr>
    </w:p>
    <w:p w:rsidR="00001169" w:rsidRPr="00A51E88" w:rsidRDefault="00001169" w:rsidP="00001169">
      <w:pPr>
        <w:ind w:firstLine="567"/>
        <w:jc w:val="both"/>
        <w:rPr>
          <w:iCs/>
          <w:sz w:val="28"/>
          <w:szCs w:val="28"/>
        </w:rPr>
      </w:pPr>
      <w:r w:rsidRPr="00A51E88">
        <w:rPr>
          <w:iCs/>
          <w:sz w:val="28"/>
          <w:szCs w:val="28"/>
        </w:rPr>
        <w:tab/>
        <w:t xml:space="preserve">Pentru evitarea acestei situații și pentru îndeplinirea obligației de transpunere a Directivei (UE) nr. </w:t>
      </w:r>
      <w:r w:rsidR="00160AC6" w:rsidRPr="00A51E88">
        <w:rPr>
          <w:iCs/>
          <w:sz w:val="28"/>
          <w:szCs w:val="28"/>
        </w:rPr>
        <w:t>2</w:t>
      </w:r>
      <w:r w:rsidR="00D722EA" w:rsidRPr="00A51E88">
        <w:rPr>
          <w:iCs/>
          <w:sz w:val="28"/>
          <w:szCs w:val="28"/>
        </w:rPr>
        <w:t>0</w:t>
      </w:r>
      <w:r w:rsidR="00160AC6" w:rsidRPr="00A51E88">
        <w:rPr>
          <w:iCs/>
          <w:sz w:val="28"/>
          <w:szCs w:val="28"/>
        </w:rPr>
        <w:t>19/2177</w:t>
      </w:r>
      <w:r w:rsidRPr="00A51E88">
        <w:rPr>
          <w:iCs/>
          <w:sz w:val="28"/>
          <w:szCs w:val="28"/>
        </w:rPr>
        <w:t xml:space="preserve">, precum și pentru evitarea pe viitor a sesizării Curții de Justiție a Uniunii Europene, </w:t>
      </w:r>
    </w:p>
    <w:p w:rsidR="003364D3" w:rsidRPr="00A51E88" w:rsidRDefault="003364D3" w:rsidP="00001169">
      <w:pPr>
        <w:ind w:firstLine="567"/>
        <w:jc w:val="both"/>
        <w:rPr>
          <w:sz w:val="28"/>
          <w:szCs w:val="28"/>
        </w:rPr>
      </w:pPr>
    </w:p>
    <w:p w:rsidR="00001169" w:rsidRPr="00A51E88" w:rsidRDefault="00001169" w:rsidP="00001169">
      <w:pPr>
        <w:tabs>
          <w:tab w:val="left" w:pos="0"/>
        </w:tabs>
        <w:ind w:right="-1" w:firstLine="567"/>
        <w:jc w:val="both"/>
        <w:rPr>
          <w:sz w:val="28"/>
          <w:szCs w:val="28"/>
        </w:rPr>
      </w:pPr>
      <w:r w:rsidRPr="00A51E88">
        <w:rPr>
          <w:sz w:val="28"/>
          <w:szCs w:val="28"/>
        </w:rPr>
        <w:t>se impune modificarea în regim de urgenţă a cadrului legal, fiind vorba de o situaţie extraordinară a cărei reglementare nu poate fi amânată.</w:t>
      </w:r>
    </w:p>
    <w:p w:rsidR="001916A3" w:rsidRPr="00A51E88" w:rsidRDefault="001916A3" w:rsidP="00001169">
      <w:pPr>
        <w:tabs>
          <w:tab w:val="left" w:pos="0"/>
        </w:tabs>
        <w:ind w:right="-1" w:firstLine="567"/>
        <w:jc w:val="both"/>
        <w:rPr>
          <w:sz w:val="28"/>
          <w:szCs w:val="28"/>
        </w:rPr>
      </w:pPr>
    </w:p>
    <w:p w:rsidR="00001169" w:rsidRPr="00A51E88" w:rsidRDefault="00001169" w:rsidP="00001169">
      <w:pPr>
        <w:pStyle w:val="NormalWeb"/>
        <w:tabs>
          <w:tab w:val="left" w:pos="0"/>
        </w:tabs>
        <w:spacing w:before="0" w:after="0"/>
        <w:ind w:firstLine="567"/>
        <w:jc w:val="both"/>
        <w:rPr>
          <w:sz w:val="28"/>
          <w:szCs w:val="28"/>
        </w:rPr>
      </w:pPr>
      <w:r w:rsidRPr="00A51E88">
        <w:rPr>
          <w:sz w:val="28"/>
          <w:szCs w:val="28"/>
        </w:rPr>
        <w:t>În temeiul art. 115 alin. (4) din Constituţia României, republicată,</w:t>
      </w:r>
    </w:p>
    <w:p w:rsidR="00001169" w:rsidRPr="00A51E88" w:rsidRDefault="00001169" w:rsidP="00001169">
      <w:pPr>
        <w:pStyle w:val="NormalWeb"/>
        <w:tabs>
          <w:tab w:val="left" w:pos="0"/>
        </w:tabs>
        <w:spacing w:before="0" w:after="0"/>
        <w:ind w:firstLine="567"/>
        <w:jc w:val="both"/>
        <w:rPr>
          <w:sz w:val="28"/>
          <w:szCs w:val="28"/>
        </w:rPr>
      </w:pPr>
    </w:p>
    <w:p w:rsidR="00001169" w:rsidRPr="00A51E88" w:rsidRDefault="00001169" w:rsidP="00001169">
      <w:pPr>
        <w:pStyle w:val="NormalWeb"/>
        <w:tabs>
          <w:tab w:val="left" w:pos="0"/>
        </w:tabs>
        <w:spacing w:before="0" w:after="0"/>
        <w:ind w:firstLine="567"/>
        <w:jc w:val="both"/>
        <w:rPr>
          <w:sz w:val="28"/>
          <w:szCs w:val="28"/>
        </w:rPr>
      </w:pPr>
      <w:r w:rsidRPr="00A51E88">
        <w:rPr>
          <w:b/>
          <w:sz w:val="28"/>
          <w:szCs w:val="28"/>
        </w:rPr>
        <w:t>Guvernul României adoptă prezenta ordonanţă de urgenţ</w:t>
      </w:r>
      <w:r w:rsidRPr="00A51E88">
        <w:rPr>
          <w:sz w:val="28"/>
          <w:szCs w:val="28"/>
        </w:rPr>
        <w:t>ă.</w:t>
      </w:r>
    </w:p>
    <w:p w:rsidR="00BC53EA" w:rsidRPr="00A51E88" w:rsidRDefault="00BC53EA" w:rsidP="00557439">
      <w:pPr>
        <w:pStyle w:val="rvps1"/>
        <w:shd w:val="clear" w:color="auto" w:fill="FFFFFF"/>
        <w:tabs>
          <w:tab w:val="left" w:pos="0"/>
        </w:tabs>
        <w:ind w:firstLine="567"/>
        <w:jc w:val="both"/>
        <w:rPr>
          <w:sz w:val="28"/>
          <w:szCs w:val="28"/>
          <w:lang w:val="ro-RO"/>
        </w:rPr>
      </w:pPr>
      <w:r w:rsidRPr="00A51E88">
        <w:rPr>
          <w:b/>
          <w:sz w:val="28"/>
          <w:szCs w:val="28"/>
          <w:lang w:val="ro-RO"/>
        </w:rPr>
        <w:t>Art</w:t>
      </w:r>
      <w:r w:rsidR="00557439" w:rsidRPr="00A51E88">
        <w:rPr>
          <w:b/>
          <w:sz w:val="28"/>
          <w:szCs w:val="28"/>
          <w:lang w:val="ro-RO"/>
        </w:rPr>
        <w:t xml:space="preserve">icol </w:t>
      </w:r>
      <w:r w:rsidR="00424176" w:rsidRPr="00A51E88">
        <w:rPr>
          <w:b/>
          <w:sz w:val="28"/>
          <w:szCs w:val="28"/>
          <w:lang w:val="ro-RO"/>
        </w:rPr>
        <w:t>unic.</w:t>
      </w:r>
      <w:r w:rsidRPr="00A51E88">
        <w:rPr>
          <w:sz w:val="28"/>
          <w:szCs w:val="28"/>
          <w:lang w:val="ro-RO"/>
        </w:rPr>
        <w:t xml:space="preserve"> Legea nr. 129/2019 </w:t>
      </w:r>
      <w:r w:rsidRPr="00A51E88">
        <w:rPr>
          <w:rStyle w:val="rvts17"/>
          <w:bCs/>
          <w:sz w:val="28"/>
          <w:szCs w:val="28"/>
          <w:lang w:val="ro-RO"/>
        </w:rPr>
        <w:t xml:space="preserve">pentru prevenirea şi combaterea spălării banilor şi finanțării terorismului, precum și pentru modificarea și completarea unor acte normative, cu modificările </w:t>
      </w:r>
      <w:r w:rsidR="00557439" w:rsidRPr="00A51E88">
        <w:rPr>
          <w:rStyle w:val="rvts17"/>
          <w:bCs/>
          <w:sz w:val="28"/>
          <w:szCs w:val="28"/>
          <w:lang w:val="ro-RO"/>
        </w:rPr>
        <w:t xml:space="preserve">și completările ulterioare, </w:t>
      </w:r>
      <w:r w:rsidRPr="00A51E88">
        <w:rPr>
          <w:sz w:val="28"/>
          <w:szCs w:val="28"/>
          <w:lang w:val="ro-RO"/>
        </w:rPr>
        <w:t>publicată în Monitorul Oficial Partea I, nr. 589 din18 iulie 2019, se modifică după cum urmează:</w:t>
      </w:r>
    </w:p>
    <w:p w:rsidR="00BC53EA" w:rsidRPr="00A51E88" w:rsidRDefault="00BC53EA" w:rsidP="00A51E88">
      <w:pPr>
        <w:pStyle w:val="NormalWeb"/>
        <w:numPr>
          <w:ilvl w:val="0"/>
          <w:numId w:val="13"/>
        </w:numPr>
        <w:tabs>
          <w:tab w:val="left" w:pos="0"/>
        </w:tabs>
        <w:spacing w:before="0" w:after="0"/>
        <w:ind w:left="0" w:firstLine="0"/>
        <w:jc w:val="both"/>
        <w:rPr>
          <w:b/>
          <w:sz w:val="28"/>
          <w:szCs w:val="28"/>
        </w:rPr>
      </w:pPr>
      <w:r w:rsidRPr="00A51E88">
        <w:rPr>
          <w:b/>
          <w:sz w:val="28"/>
          <w:szCs w:val="28"/>
        </w:rPr>
        <w:t xml:space="preserve">La articolul 1, </w:t>
      </w:r>
      <w:r w:rsidR="00A51E88">
        <w:rPr>
          <w:b/>
          <w:sz w:val="28"/>
          <w:szCs w:val="28"/>
        </w:rPr>
        <w:t>ultima teză</w:t>
      </w:r>
      <w:r w:rsidR="00424176" w:rsidRPr="00A51E88">
        <w:rPr>
          <w:b/>
          <w:sz w:val="28"/>
          <w:szCs w:val="28"/>
        </w:rPr>
        <w:t xml:space="preserve"> a a</w:t>
      </w:r>
      <w:r w:rsidRPr="00A51E88">
        <w:rPr>
          <w:b/>
          <w:sz w:val="28"/>
          <w:szCs w:val="28"/>
        </w:rPr>
        <w:t>lineatul</w:t>
      </w:r>
      <w:r w:rsidR="00424176" w:rsidRPr="00A51E88">
        <w:rPr>
          <w:b/>
          <w:sz w:val="28"/>
          <w:szCs w:val="28"/>
        </w:rPr>
        <w:t>ui</w:t>
      </w:r>
      <w:r w:rsidRPr="00A51E88">
        <w:rPr>
          <w:b/>
          <w:sz w:val="28"/>
          <w:szCs w:val="28"/>
        </w:rPr>
        <w:t xml:space="preserve"> (</w:t>
      </w:r>
      <w:r w:rsidR="00424176" w:rsidRPr="00A51E88">
        <w:rPr>
          <w:b/>
          <w:sz w:val="28"/>
          <w:szCs w:val="28"/>
        </w:rPr>
        <w:t>3</w:t>
      </w:r>
      <w:r w:rsidRPr="00A51E88">
        <w:rPr>
          <w:b/>
          <w:sz w:val="28"/>
          <w:szCs w:val="28"/>
        </w:rPr>
        <w:t xml:space="preserve">) </w:t>
      </w:r>
      <w:r w:rsidR="00F664A4" w:rsidRPr="00A51E88">
        <w:rPr>
          <w:b/>
          <w:sz w:val="28"/>
          <w:szCs w:val="28"/>
        </w:rPr>
        <w:t xml:space="preserve">și alineatul (12) </w:t>
      </w:r>
      <w:r w:rsidR="00424176" w:rsidRPr="00A51E88">
        <w:rPr>
          <w:b/>
          <w:sz w:val="28"/>
          <w:szCs w:val="28"/>
        </w:rPr>
        <w:t>se modifică și v</w:t>
      </w:r>
      <w:r w:rsidR="00F664A4" w:rsidRPr="00A51E88">
        <w:rPr>
          <w:b/>
          <w:sz w:val="28"/>
          <w:szCs w:val="28"/>
        </w:rPr>
        <w:t>or</w:t>
      </w:r>
      <w:r w:rsidR="00424176" w:rsidRPr="00A51E88">
        <w:rPr>
          <w:b/>
          <w:sz w:val="28"/>
          <w:szCs w:val="28"/>
        </w:rPr>
        <w:t xml:space="preserve"> avea următorul cuprins:</w:t>
      </w:r>
    </w:p>
    <w:p w:rsidR="00424176" w:rsidRPr="00A51E88" w:rsidRDefault="00424176" w:rsidP="00557439">
      <w:pPr>
        <w:jc w:val="both"/>
        <w:rPr>
          <w:sz w:val="28"/>
          <w:szCs w:val="28"/>
        </w:rPr>
      </w:pPr>
      <w:r w:rsidRPr="00A51E88">
        <w:rPr>
          <w:b/>
          <w:sz w:val="28"/>
          <w:szCs w:val="28"/>
        </w:rPr>
        <w:t>”</w:t>
      </w:r>
      <w:r w:rsidRPr="00A51E88">
        <w:rPr>
          <w:sz w:val="28"/>
          <w:szCs w:val="28"/>
        </w:rPr>
        <w:t xml:space="preserve"> </w:t>
      </w:r>
      <w:r w:rsidR="00F664A4" w:rsidRPr="00A51E88">
        <w:rPr>
          <w:b/>
          <w:sz w:val="28"/>
          <w:szCs w:val="28"/>
        </w:rPr>
        <w:t>(3)</w:t>
      </w:r>
      <w:r w:rsidR="00F664A4" w:rsidRPr="00A51E88">
        <w:rPr>
          <w:sz w:val="28"/>
          <w:szCs w:val="28"/>
        </w:rPr>
        <w:t xml:space="preserve"> </w:t>
      </w:r>
      <w:r w:rsidRPr="00A51E88">
        <w:rPr>
          <w:sz w:val="28"/>
          <w:szCs w:val="28"/>
        </w:rPr>
        <w:t>(...)</w:t>
      </w:r>
    </w:p>
    <w:p w:rsidR="00424176" w:rsidRPr="00A51E88" w:rsidRDefault="00424176" w:rsidP="00557439">
      <w:pPr>
        <w:jc w:val="both"/>
        <w:rPr>
          <w:sz w:val="28"/>
          <w:szCs w:val="28"/>
        </w:rPr>
      </w:pPr>
      <w:r w:rsidRPr="00A51E88">
        <w:rPr>
          <w:sz w:val="28"/>
          <w:szCs w:val="28"/>
        </w:rPr>
        <w:lastRenderedPageBreak/>
        <w:t xml:space="preserve">Oficiul coordonează răspunsul naţional la riscurile evaluate, în cooperare cu autorităţile şi instituţiile prevăzute la alin. (1), şi informează, în acest sens Comisia Europeană, Autoritatea </w:t>
      </w:r>
      <w:r w:rsidR="00557439" w:rsidRPr="00A51E88">
        <w:rPr>
          <w:sz w:val="28"/>
          <w:szCs w:val="28"/>
        </w:rPr>
        <w:t xml:space="preserve">Bancară Europeană </w:t>
      </w:r>
      <w:r w:rsidRPr="00A51E88">
        <w:rPr>
          <w:sz w:val="28"/>
          <w:szCs w:val="28"/>
        </w:rPr>
        <w:t>şi statele membre.”</w:t>
      </w:r>
    </w:p>
    <w:p w:rsidR="00424176" w:rsidRPr="00A51E88" w:rsidRDefault="00F664A4" w:rsidP="00557439">
      <w:pPr>
        <w:pStyle w:val="NormalWeb"/>
        <w:tabs>
          <w:tab w:val="left" w:pos="0"/>
        </w:tabs>
        <w:spacing w:before="0" w:after="0"/>
        <w:ind w:left="567"/>
        <w:jc w:val="both"/>
        <w:rPr>
          <w:b/>
          <w:sz w:val="28"/>
          <w:szCs w:val="28"/>
        </w:rPr>
      </w:pPr>
      <w:r w:rsidRPr="00A51E88">
        <w:rPr>
          <w:b/>
          <w:sz w:val="28"/>
          <w:szCs w:val="28"/>
        </w:rPr>
        <w:t>(...)</w:t>
      </w:r>
    </w:p>
    <w:p w:rsidR="00424176" w:rsidRPr="00A51E88" w:rsidRDefault="00F664A4" w:rsidP="00557439">
      <w:pPr>
        <w:pStyle w:val="NormalWeb"/>
        <w:tabs>
          <w:tab w:val="left" w:pos="0"/>
        </w:tabs>
        <w:spacing w:before="0" w:after="0"/>
        <w:jc w:val="both"/>
        <w:rPr>
          <w:sz w:val="28"/>
          <w:szCs w:val="28"/>
        </w:rPr>
      </w:pPr>
      <w:r w:rsidRPr="00A51E88">
        <w:rPr>
          <w:b/>
          <w:sz w:val="28"/>
          <w:szCs w:val="28"/>
        </w:rPr>
        <w:t xml:space="preserve">” (12) </w:t>
      </w:r>
      <w:r w:rsidRPr="00A51E88">
        <w:rPr>
          <w:rStyle w:val="rvts12"/>
          <w:sz w:val="28"/>
          <w:szCs w:val="28"/>
        </w:rPr>
        <w:t xml:space="preserve">Oficiul </w:t>
      </w:r>
      <w:r w:rsidRPr="00A51E88">
        <w:rPr>
          <w:sz w:val="28"/>
          <w:szCs w:val="28"/>
        </w:rPr>
        <w:t xml:space="preserve">transmite Comisiei Europene, </w:t>
      </w:r>
      <w:r w:rsidRPr="00A51E88">
        <w:rPr>
          <w:rStyle w:val="rvts12"/>
          <w:sz w:val="28"/>
          <w:szCs w:val="28"/>
        </w:rPr>
        <w:t>Autorităţii Bancare Europene</w:t>
      </w:r>
      <w:r w:rsidRPr="00A51E88">
        <w:rPr>
          <w:sz w:val="28"/>
          <w:szCs w:val="28"/>
        </w:rPr>
        <w:t xml:space="preserve"> si statelor membre evaluarea de risc menționată la alin. (3).”</w:t>
      </w:r>
    </w:p>
    <w:p w:rsidR="00A51E88" w:rsidRPr="00A51E88" w:rsidRDefault="00A51E88" w:rsidP="00A51E88">
      <w:pPr>
        <w:pStyle w:val="Listparagraf"/>
        <w:numPr>
          <w:ilvl w:val="0"/>
          <w:numId w:val="13"/>
        </w:numPr>
        <w:ind w:left="0" w:firstLine="0"/>
        <w:rPr>
          <w:rFonts w:ascii="Times New Roman" w:hAnsi="Times New Roman"/>
          <w:b/>
          <w:sz w:val="28"/>
          <w:szCs w:val="28"/>
        </w:rPr>
      </w:pPr>
      <w:r w:rsidRPr="00A51E88">
        <w:rPr>
          <w:rFonts w:ascii="Times New Roman" w:hAnsi="Times New Roman"/>
          <w:b/>
          <w:sz w:val="28"/>
          <w:szCs w:val="28"/>
        </w:rPr>
        <w:t>L</w:t>
      </w:r>
      <w:r w:rsidR="00793737">
        <w:rPr>
          <w:rFonts w:ascii="Times New Roman" w:hAnsi="Times New Roman"/>
          <w:b/>
          <w:sz w:val="28"/>
          <w:szCs w:val="28"/>
        </w:rPr>
        <w:t xml:space="preserve">a articolul 22, </w:t>
      </w:r>
      <w:r w:rsidRPr="00A51E88">
        <w:rPr>
          <w:rFonts w:ascii="Times New Roman" w:hAnsi="Times New Roman"/>
          <w:b/>
          <w:sz w:val="28"/>
          <w:szCs w:val="28"/>
        </w:rPr>
        <w:t>alineatul (4) se modifică și va avea următorul cuprins:</w:t>
      </w:r>
    </w:p>
    <w:p w:rsidR="00A51E88" w:rsidRPr="00A51E88" w:rsidRDefault="00A51E88" w:rsidP="00A51E88">
      <w:pPr>
        <w:ind w:firstLine="567"/>
        <w:jc w:val="both"/>
        <w:rPr>
          <w:sz w:val="28"/>
          <w:szCs w:val="28"/>
        </w:rPr>
      </w:pPr>
      <w:r w:rsidRPr="00A51E88">
        <w:rPr>
          <w:sz w:val="28"/>
          <w:szCs w:val="28"/>
        </w:rPr>
        <w:t xml:space="preserve">”(4) Prelucrarea datelor cu caracter personal în contextul alin. (1) este considerată ca fiind necesară în vederea ducerii la îndeplinire a unor măsuri de interes public, în conformitate cu prevederile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și Regulamentului </w:t>
      </w:r>
      <w:r w:rsidRPr="00A51E88">
        <w:rPr>
          <w:sz w:val="28"/>
          <w:szCs w:val="28"/>
          <w:shd w:val="clear" w:color="auto" w:fill="FFFFFF"/>
        </w:rPr>
        <w:t>(UE) 2018/1725 al Parlamentului European și al Consiliului din 23 octombrie 2018 privind protecția persoanelor fizice în ceea ce privește prelucrarea datelor cu caracter personal de către instituțiile, organele, oficiile și agențiile Uniunii și privind libera circulație a acestor date și de abrogare a Regulamentului (CE) nr. 45/2001 și a Deciziei nr. 1247/2002/CE”</w:t>
      </w:r>
    </w:p>
    <w:p w:rsidR="00A31C8D" w:rsidRPr="00A51E88" w:rsidRDefault="00A31C8D" w:rsidP="00A31C8D">
      <w:pPr>
        <w:pStyle w:val="NormalWeb"/>
        <w:numPr>
          <w:ilvl w:val="0"/>
          <w:numId w:val="13"/>
        </w:numPr>
        <w:tabs>
          <w:tab w:val="left" w:pos="0"/>
        </w:tabs>
        <w:spacing w:after="0"/>
        <w:jc w:val="both"/>
        <w:rPr>
          <w:b/>
          <w:sz w:val="28"/>
          <w:szCs w:val="28"/>
        </w:rPr>
      </w:pPr>
      <w:r w:rsidRPr="00A51E88">
        <w:rPr>
          <w:b/>
          <w:sz w:val="28"/>
          <w:szCs w:val="28"/>
        </w:rPr>
        <w:t>La articolul 26</w:t>
      </w:r>
      <w:r w:rsidR="00793737">
        <w:rPr>
          <w:b/>
          <w:sz w:val="28"/>
          <w:szCs w:val="28"/>
        </w:rPr>
        <w:t>,</w:t>
      </w:r>
      <w:r w:rsidRPr="00A51E88">
        <w:rPr>
          <w:b/>
          <w:sz w:val="28"/>
          <w:szCs w:val="28"/>
        </w:rPr>
        <w:t xml:space="preserve"> alineatul (1</w:t>
      </w:r>
      <w:r w:rsidRPr="00A51E88">
        <w:rPr>
          <w:b/>
          <w:sz w:val="28"/>
          <w:szCs w:val="28"/>
          <w:vertAlign w:val="superscript"/>
        </w:rPr>
        <w:t xml:space="preserve">1 </w:t>
      </w:r>
      <w:r w:rsidRPr="00A51E88">
        <w:rPr>
          <w:b/>
          <w:sz w:val="28"/>
          <w:szCs w:val="28"/>
        </w:rPr>
        <w:t>) se modifică și va avea următorul cuprins:</w:t>
      </w:r>
    </w:p>
    <w:p w:rsidR="00A31C8D" w:rsidRPr="00A51E88" w:rsidRDefault="00A31C8D" w:rsidP="00A31C8D">
      <w:pPr>
        <w:ind w:firstLine="567"/>
        <w:jc w:val="both"/>
        <w:rPr>
          <w:sz w:val="28"/>
          <w:szCs w:val="28"/>
        </w:rPr>
      </w:pPr>
      <w:r w:rsidRPr="00A51E88">
        <w:rPr>
          <w:sz w:val="28"/>
          <w:szCs w:val="28"/>
        </w:rPr>
        <w:t>” (1</w:t>
      </w:r>
      <w:r w:rsidRPr="00A51E88">
        <w:rPr>
          <w:sz w:val="28"/>
          <w:szCs w:val="28"/>
          <w:vertAlign w:val="superscript"/>
        </w:rPr>
        <w:t>1</w:t>
      </w:r>
      <w:r w:rsidRPr="00A51E88">
        <w:rPr>
          <w:sz w:val="28"/>
          <w:szCs w:val="28"/>
        </w:rPr>
        <w:t>) Lista autorităţilor şi organismelor prevăzute la alin. (1), inclusiv datele de contact ale acestora, precum şi orice modificări privind aceste informaţii, care vor servi drept punct de contact pentru autorităţile similare din celelalte state membre şi, după caz, pentru Autoritatea Bancară Europeană, se comunică de către Oficiu Comisiei Europene.”</w:t>
      </w:r>
    </w:p>
    <w:p w:rsidR="00B449EA" w:rsidRPr="00A51E88" w:rsidRDefault="00B449EA" w:rsidP="00557439">
      <w:pPr>
        <w:pStyle w:val="NormalWeb"/>
        <w:numPr>
          <w:ilvl w:val="0"/>
          <w:numId w:val="13"/>
        </w:numPr>
        <w:tabs>
          <w:tab w:val="left" w:pos="0"/>
        </w:tabs>
        <w:spacing w:before="0" w:after="0"/>
        <w:jc w:val="both"/>
        <w:rPr>
          <w:b/>
          <w:sz w:val="28"/>
          <w:szCs w:val="28"/>
        </w:rPr>
      </w:pPr>
      <w:bookmarkStart w:id="0" w:name="_GoBack"/>
      <w:bookmarkEnd w:id="0"/>
      <w:r w:rsidRPr="00A51E88">
        <w:rPr>
          <w:b/>
          <w:sz w:val="28"/>
          <w:szCs w:val="28"/>
        </w:rPr>
        <w:t>La articolul 48</w:t>
      </w:r>
      <w:r w:rsidR="00793737">
        <w:rPr>
          <w:b/>
          <w:sz w:val="28"/>
          <w:szCs w:val="28"/>
        </w:rPr>
        <w:t>,</w:t>
      </w:r>
      <w:r w:rsidRPr="00A51E88">
        <w:rPr>
          <w:b/>
          <w:sz w:val="28"/>
          <w:szCs w:val="28"/>
        </w:rPr>
        <w:t xml:space="preserve"> preambulul se modifică și v</w:t>
      </w:r>
      <w:r w:rsidR="009D2237" w:rsidRPr="00A51E88">
        <w:rPr>
          <w:b/>
          <w:sz w:val="28"/>
          <w:szCs w:val="28"/>
        </w:rPr>
        <w:t>a</w:t>
      </w:r>
      <w:r w:rsidRPr="00A51E88">
        <w:rPr>
          <w:b/>
          <w:sz w:val="28"/>
          <w:szCs w:val="28"/>
        </w:rPr>
        <w:t xml:space="preserve"> avea următorul cuprins:</w:t>
      </w:r>
    </w:p>
    <w:p w:rsidR="00B449EA" w:rsidRPr="00A51E88" w:rsidRDefault="00B449EA" w:rsidP="00557439">
      <w:pPr>
        <w:pStyle w:val="NormalWeb"/>
        <w:tabs>
          <w:tab w:val="left" w:pos="0"/>
        </w:tabs>
        <w:spacing w:before="0" w:after="0"/>
        <w:ind w:left="927"/>
        <w:jc w:val="both"/>
        <w:rPr>
          <w:b/>
          <w:sz w:val="28"/>
          <w:szCs w:val="28"/>
        </w:rPr>
      </w:pPr>
    </w:p>
    <w:p w:rsidR="00B449EA" w:rsidRDefault="00B449EA" w:rsidP="00557439">
      <w:pPr>
        <w:tabs>
          <w:tab w:val="left" w:pos="567"/>
          <w:tab w:val="left" w:pos="1560"/>
          <w:tab w:val="left" w:pos="1985"/>
          <w:tab w:val="left" w:pos="2268"/>
        </w:tabs>
        <w:jc w:val="both"/>
        <w:rPr>
          <w:bCs/>
          <w:sz w:val="28"/>
          <w:szCs w:val="28"/>
        </w:rPr>
      </w:pPr>
      <w:r w:rsidRPr="00A51E88">
        <w:rPr>
          <w:b/>
          <w:bCs/>
          <w:sz w:val="28"/>
          <w:szCs w:val="28"/>
        </w:rPr>
        <w:t>”Art. 48 - </w:t>
      </w:r>
      <w:r w:rsidR="00160AC6" w:rsidRPr="00A51E88">
        <w:rPr>
          <w:sz w:val="28"/>
          <w:szCs w:val="28"/>
        </w:rPr>
        <w:t>Autoritățile</w:t>
      </w:r>
      <w:r w:rsidRPr="00A51E88">
        <w:rPr>
          <w:sz w:val="28"/>
          <w:szCs w:val="28"/>
        </w:rPr>
        <w:t xml:space="preserve"> prevăzute la art. 26 alin. (1) lit. a) transmit, după caz, </w:t>
      </w:r>
      <w:r w:rsidR="00160AC6" w:rsidRPr="00A51E88">
        <w:rPr>
          <w:sz w:val="28"/>
          <w:szCs w:val="28"/>
        </w:rPr>
        <w:t>Autorității</w:t>
      </w:r>
      <w:r w:rsidRPr="00A51E88">
        <w:rPr>
          <w:sz w:val="28"/>
          <w:szCs w:val="28"/>
        </w:rPr>
        <w:t xml:space="preserve"> </w:t>
      </w:r>
      <w:r w:rsidR="00557439" w:rsidRPr="00A51E88">
        <w:rPr>
          <w:sz w:val="28"/>
          <w:szCs w:val="28"/>
        </w:rPr>
        <w:t>Bancare Europene</w:t>
      </w:r>
      <w:r w:rsidRPr="00A51E88">
        <w:rPr>
          <w:sz w:val="28"/>
          <w:szCs w:val="28"/>
        </w:rPr>
        <w:t xml:space="preserve">, </w:t>
      </w:r>
      <w:r w:rsidRPr="00A51E88">
        <w:rPr>
          <w:bCs/>
          <w:sz w:val="28"/>
          <w:szCs w:val="28"/>
        </w:rPr>
        <w:t>Autorității europene pentru asigurări și pensii ocupaționale, Autorității europene pentru valori mobiliare și piețe:</w:t>
      </w:r>
      <w:r w:rsidR="009D2237" w:rsidRPr="00A51E88">
        <w:rPr>
          <w:bCs/>
          <w:sz w:val="28"/>
          <w:szCs w:val="28"/>
        </w:rPr>
        <w:t>”</w:t>
      </w:r>
    </w:p>
    <w:p w:rsidR="00BC53EA" w:rsidRPr="00A51E88" w:rsidRDefault="00BC53EA" w:rsidP="00BC53EA">
      <w:pPr>
        <w:ind w:firstLine="567"/>
        <w:jc w:val="center"/>
        <w:rPr>
          <w:bCs/>
          <w:sz w:val="28"/>
          <w:szCs w:val="28"/>
        </w:rPr>
      </w:pPr>
      <w:r w:rsidRPr="00A51E88">
        <w:rPr>
          <w:bCs/>
          <w:sz w:val="28"/>
          <w:szCs w:val="28"/>
        </w:rPr>
        <w:t>***</w:t>
      </w:r>
    </w:p>
    <w:p w:rsidR="00BC53EA" w:rsidRPr="00A51E88" w:rsidRDefault="000B4168" w:rsidP="00BC53EA">
      <w:pPr>
        <w:autoSpaceDE w:val="0"/>
        <w:ind w:firstLine="567"/>
        <w:jc w:val="both"/>
        <w:rPr>
          <w:sz w:val="28"/>
          <w:szCs w:val="28"/>
          <w:shd w:val="clear" w:color="auto" w:fill="FFFFFF"/>
        </w:rPr>
      </w:pPr>
      <w:r w:rsidRPr="00A51E88">
        <w:rPr>
          <w:sz w:val="28"/>
          <w:szCs w:val="28"/>
        </w:rPr>
        <w:t xml:space="preserve">Prin </w:t>
      </w:r>
      <w:r w:rsidR="00BC0472">
        <w:rPr>
          <w:sz w:val="28"/>
          <w:szCs w:val="28"/>
        </w:rPr>
        <w:t>prezenta Ordonanță de urgență</w:t>
      </w:r>
      <w:r w:rsidRPr="00A51E88">
        <w:rPr>
          <w:sz w:val="28"/>
          <w:szCs w:val="28"/>
        </w:rPr>
        <w:t xml:space="preserve"> se transpune art</w:t>
      </w:r>
      <w:r w:rsidR="00840422" w:rsidRPr="00A51E88">
        <w:rPr>
          <w:sz w:val="28"/>
          <w:szCs w:val="28"/>
        </w:rPr>
        <w:t xml:space="preserve">icolul </w:t>
      </w:r>
      <w:r w:rsidRPr="00A51E88">
        <w:rPr>
          <w:sz w:val="28"/>
          <w:szCs w:val="28"/>
        </w:rPr>
        <w:t xml:space="preserve">3 din </w:t>
      </w:r>
      <w:r w:rsidR="00BC53EA" w:rsidRPr="00A51E88">
        <w:rPr>
          <w:sz w:val="28"/>
          <w:szCs w:val="28"/>
        </w:rPr>
        <w:t xml:space="preserve">Directiva </w:t>
      </w:r>
      <w:r w:rsidR="000F3338" w:rsidRPr="00A51E88">
        <w:rPr>
          <w:sz w:val="28"/>
          <w:szCs w:val="28"/>
        </w:rPr>
        <w:t>(UE) 2019/2177 a Parlamentului European și a Consiliului din 18 decembrie 2019 de modificare a Directivei 2009/138/CE privind accesul la activitate și desfășurarea activității de asigurare și de reasigurare (Solvabilitate II), a Directivei 2014/65/UE privind piețele instrumentelor financiare și a Directivei (UE) 2015/849 privind prevenirea utilizării sistemului financiar în scopul spălării banilor sau finanțării terorismului.</w:t>
      </w:r>
    </w:p>
    <w:p w:rsidR="00BC53EA" w:rsidRPr="00A51E88" w:rsidRDefault="00BC53EA" w:rsidP="00BC53EA">
      <w:pPr>
        <w:autoSpaceDE w:val="0"/>
        <w:jc w:val="both"/>
        <w:rPr>
          <w:sz w:val="28"/>
          <w:szCs w:val="28"/>
          <w:shd w:val="clear" w:color="auto" w:fill="FFFFFF"/>
        </w:rPr>
      </w:pPr>
    </w:p>
    <w:p w:rsidR="00BC53EA" w:rsidRPr="00A51E88" w:rsidRDefault="00BC53EA" w:rsidP="00BC53EA">
      <w:pPr>
        <w:autoSpaceDE w:val="0"/>
        <w:jc w:val="center"/>
        <w:rPr>
          <w:b/>
          <w:sz w:val="28"/>
          <w:szCs w:val="28"/>
        </w:rPr>
      </w:pPr>
      <w:r w:rsidRPr="00A51E88">
        <w:rPr>
          <w:b/>
          <w:sz w:val="28"/>
          <w:szCs w:val="28"/>
        </w:rPr>
        <w:t>PRIM-MINISTRU,</w:t>
      </w:r>
    </w:p>
    <w:p w:rsidR="00BC53EA" w:rsidRPr="00A51E88" w:rsidRDefault="00BC53EA" w:rsidP="00BC53EA">
      <w:pPr>
        <w:autoSpaceDE w:val="0"/>
        <w:jc w:val="center"/>
        <w:rPr>
          <w:b/>
          <w:sz w:val="28"/>
          <w:szCs w:val="28"/>
        </w:rPr>
      </w:pPr>
    </w:p>
    <w:p w:rsidR="00BC53EA" w:rsidRPr="00A51E88" w:rsidRDefault="00BC53EA" w:rsidP="00BC53EA">
      <w:pPr>
        <w:autoSpaceDE w:val="0"/>
        <w:jc w:val="center"/>
        <w:rPr>
          <w:b/>
          <w:sz w:val="28"/>
          <w:szCs w:val="28"/>
        </w:rPr>
      </w:pPr>
      <w:r w:rsidRPr="00A51E88">
        <w:rPr>
          <w:b/>
          <w:sz w:val="28"/>
          <w:szCs w:val="28"/>
        </w:rPr>
        <w:t>Ludovic ORBAN</w:t>
      </w:r>
    </w:p>
    <w:p w:rsidR="00381535" w:rsidRPr="00A51E88" w:rsidRDefault="00381535">
      <w:pPr>
        <w:rPr>
          <w:sz w:val="28"/>
          <w:szCs w:val="28"/>
        </w:rPr>
      </w:pPr>
    </w:p>
    <w:sectPr w:rsidR="00381535" w:rsidRPr="00A51E88" w:rsidSect="00410AB1">
      <w:headerReference w:type="even" r:id="rId7"/>
      <w:headerReference w:type="default" r:id="rId8"/>
      <w:footerReference w:type="even" r:id="rId9"/>
      <w:footerReference w:type="default" r:id="rId10"/>
      <w:headerReference w:type="first" r:id="rId11"/>
      <w:footerReference w:type="first" r:id="rId12"/>
      <w:footnotePr>
        <w:pos w:val="beneathText"/>
      </w:footnotePr>
      <w:pgSz w:w="11905" w:h="16837"/>
      <w:pgMar w:top="0" w:right="1417" w:bottom="993"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135" w:rsidRDefault="00A85135">
      <w:r>
        <w:separator/>
      </w:r>
    </w:p>
  </w:endnote>
  <w:endnote w:type="continuationSeparator" w:id="0">
    <w:p w:rsidR="00A85135" w:rsidRDefault="00A85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4A4" w:rsidRDefault="00F664A4">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end"/>
    </w:r>
  </w:p>
  <w:p w:rsidR="00F664A4" w:rsidRDefault="00F664A4">
    <w:pPr>
      <w:pStyle w:val="Subsol"/>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4A4" w:rsidRDefault="00F664A4">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sidR="00BC0472">
      <w:rPr>
        <w:rStyle w:val="Numrdepagin"/>
        <w:noProof/>
      </w:rPr>
      <w:t>4</w:t>
    </w:r>
    <w:r>
      <w:rPr>
        <w:rStyle w:val="Numrdepagin"/>
      </w:rPr>
      <w:fldChar w:fldCharType="end"/>
    </w:r>
  </w:p>
  <w:p w:rsidR="00F664A4" w:rsidRDefault="00F664A4">
    <w:pPr>
      <w:pStyle w:val="Subsol"/>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4A4" w:rsidRDefault="00F664A4">
    <w:pPr>
      <w:pStyle w:val="Subsol"/>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135" w:rsidRDefault="00A85135">
      <w:r>
        <w:separator/>
      </w:r>
    </w:p>
  </w:footnote>
  <w:footnote w:type="continuationSeparator" w:id="0">
    <w:p w:rsidR="00A85135" w:rsidRDefault="00A851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4A4" w:rsidRDefault="00F664A4">
    <w:pPr>
      <w:pStyle w:val="Ante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4A4" w:rsidRDefault="00F664A4">
    <w:pPr>
      <w:pStyle w:val="Ante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4A4" w:rsidRDefault="00F664A4">
    <w:pPr>
      <w:pStyle w:val="Ante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lowerLetter"/>
      <w:lvlText w:val="%1)"/>
      <w:lvlJc w:val="left"/>
      <w:pPr>
        <w:tabs>
          <w:tab w:val="num" w:pos="1560"/>
        </w:tabs>
        <w:ind w:left="1560" w:hanging="360"/>
      </w:pPr>
    </w:lvl>
  </w:abstractNum>
  <w:abstractNum w:abstractNumId="1" w15:restartNumberingAfterBreak="0">
    <w:nsid w:val="00000002"/>
    <w:multiLevelType w:val="multilevel"/>
    <w:tmpl w:val="00000002"/>
    <w:name w:val="WW8Num2"/>
    <w:lvl w:ilvl="0">
      <w:start w:val="3"/>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2100"/>
        </w:tabs>
        <w:ind w:left="2100" w:hanging="120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3" w15:restartNumberingAfterBreak="0">
    <w:nsid w:val="092C2044"/>
    <w:multiLevelType w:val="hybridMultilevel"/>
    <w:tmpl w:val="D926470A"/>
    <w:lvl w:ilvl="0" w:tplc="BE30D138">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4" w15:restartNumberingAfterBreak="0">
    <w:nsid w:val="18313CB4"/>
    <w:multiLevelType w:val="hybridMultilevel"/>
    <w:tmpl w:val="C35AF616"/>
    <w:lvl w:ilvl="0" w:tplc="93E8C8AA">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15:restartNumberingAfterBreak="0">
    <w:nsid w:val="20D36B9F"/>
    <w:multiLevelType w:val="hybridMultilevel"/>
    <w:tmpl w:val="F5AA35D2"/>
    <w:lvl w:ilvl="0" w:tplc="7422DF7A">
      <w:start w:val="1"/>
      <w:numFmt w:val="lowerLetter"/>
      <w:lvlText w:val="%1)"/>
      <w:lvlJc w:val="left"/>
      <w:pPr>
        <w:ind w:left="1080" w:hanging="360"/>
      </w:pPr>
      <w:rPr>
        <w:rFonts w:hint="default"/>
        <w:sz w:val="28"/>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15:restartNumberingAfterBreak="0">
    <w:nsid w:val="2E785B30"/>
    <w:multiLevelType w:val="hybridMultilevel"/>
    <w:tmpl w:val="3DC4D7B8"/>
    <w:lvl w:ilvl="0" w:tplc="DB780EC0">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15:restartNumberingAfterBreak="0">
    <w:nsid w:val="3D3279B7"/>
    <w:multiLevelType w:val="hybridMultilevel"/>
    <w:tmpl w:val="12BC25FE"/>
    <w:lvl w:ilvl="0" w:tplc="E6F4C3E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43EE3E97"/>
    <w:multiLevelType w:val="hybridMultilevel"/>
    <w:tmpl w:val="40B275E8"/>
    <w:lvl w:ilvl="0" w:tplc="4D785794">
      <w:start w:val="1"/>
      <w:numFmt w:val="lowerRoman"/>
      <w:lvlText w:val="%1)"/>
      <w:lvlJc w:val="left"/>
      <w:pPr>
        <w:ind w:left="1287" w:hanging="72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9" w15:restartNumberingAfterBreak="0">
    <w:nsid w:val="5A507B9E"/>
    <w:multiLevelType w:val="hybridMultilevel"/>
    <w:tmpl w:val="0DE8BD54"/>
    <w:lvl w:ilvl="0" w:tplc="9A9267F0">
      <w:start w:val="1"/>
      <w:numFmt w:val="decimal"/>
      <w:lvlText w:val="(%1)"/>
      <w:lvlJc w:val="left"/>
      <w:pPr>
        <w:ind w:left="1603" w:hanging="468"/>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60B246FD"/>
    <w:multiLevelType w:val="hybridMultilevel"/>
    <w:tmpl w:val="E454ED0E"/>
    <w:lvl w:ilvl="0" w:tplc="82B4AE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63B140F4"/>
    <w:multiLevelType w:val="hybridMultilevel"/>
    <w:tmpl w:val="9B4424B0"/>
    <w:lvl w:ilvl="0" w:tplc="8F60FFA8">
      <w:start w:val="1"/>
      <w:numFmt w:val="decimal"/>
      <w:lvlText w:val="(%1)"/>
      <w:lvlJc w:val="left"/>
      <w:pPr>
        <w:ind w:left="1287" w:hanging="360"/>
      </w:pPr>
      <w:rPr>
        <w:rFonts w:ascii="Times New Roman" w:hAnsi="Times New Roman" w:hint="default"/>
        <w:sz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66354E10"/>
    <w:multiLevelType w:val="hybridMultilevel"/>
    <w:tmpl w:val="BC186474"/>
    <w:lvl w:ilvl="0" w:tplc="239EE0E8">
      <w:start w:val="1"/>
      <w:numFmt w:val="decimal"/>
      <w:lvlText w:val="%1."/>
      <w:lvlJc w:val="left"/>
      <w:pPr>
        <w:ind w:left="780" w:hanging="360"/>
      </w:pPr>
      <w:rPr>
        <w:rFonts w:hint="default"/>
      </w:r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num w:numId="1">
    <w:abstractNumId w:val="0"/>
  </w:num>
  <w:num w:numId="2">
    <w:abstractNumId w:val="1"/>
  </w:num>
  <w:num w:numId="3">
    <w:abstractNumId w:val="2"/>
  </w:num>
  <w:num w:numId="4">
    <w:abstractNumId w:val="6"/>
  </w:num>
  <w:num w:numId="5">
    <w:abstractNumId w:val="5"/>
  </w:num>
  <w:num w:numId="6">
    <w:abstractNumId w:val="4"/>
  </w:num>
  <w:num w:numId="7">
    <w:abstractNumId w:val="9"/>
  </w:num>
  <w:num w:numId="8">
    <w:abstractNumId w:val="3"/>
  </w:num>
  <w:num w:numId="9">
    <w:abstractNumId w:val="8"/>
  </w:num>
  <w:num w:numId="10">
    <w:abstractNumId w:val="7"/>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3EA"/>
    <w:rsid w:val="00001169"/>
    <w:rsid w:val="00007438"/>
    <w:rsid w:val="00021963"/>
    <w:rsid w:val="000B4168"/>
    <w:rsid w:val="000F3338"/>
    <w:rsid w:val="00160AC6"/>
    <w:rsid w:val="001916A3"/>
    <w:rsid w:val="003364D3"/>
    <w:rsid w:val="00381535"/>
    <w:rsid w:val="003E3B61"/>
    <w:rsid w:val="00410AB1"/>
    <w:rsid w:val="00424176"/>
    <w:rsid w:val="00466221"/>
    <w:rsid w:val="004E3C4F"/>
    <w:rsid w:val="00556327"/>
    <w:rsid w:val="00557439"/>
    <w:rsid w:val="006757DA"/>
    <w:rsid w:val="00781B32"/>
    <w:rsid w:val="00793737"/>
    <w:rsid w:val="00840422"/>
    <w:rsid w:val="008911E4"/>
    <w:rsid w:val="0095708D"/>
    <w:rsid w:val="009D2237"/>
    <w:rsid w:val="00A31C8D"/>
    <w:rsid w:val="00A51E88"/>
    <w:rsid w:val="00A85135"/>
    <w:rsid w:val="00B449EA"/>
    <w:rsid w:val="00BC0472"/>
    <w:rsid w:val="00BC53EA"/>
    <w:rsid w:val="00D722EA"/>
    <w:rsid w:val="00F25C25"/>
    <w:rsid w:val="00F66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95471"/>
  <w15:chartTrackingRefBased/>
  <w15:docId w15:val="{F30C0975-DCEB-4E78-BD85-9D36BDBC2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3EA"/>
    <w:pPr>
      <w:suppressAutoHyphens/>
      <w:spacing w:after="0" w:line="240" w:lineRule="auto"/>
    </w:pPr>
    <w:rPr>
      <w:rFonts w:ascii="Times New Roman" w:eastAsia="Times New Roman" w:hAnsi="Times New Roman" w:cs="Times New Roman"/>
      <w:sz w:val="24"/>
      <w:szCs w:val="24"/>
      <w:lang w:val="ro-RO" w:eastAsia="ar-SA"/>
    </w:rPr>
  </w:style>
  <w:style w:type="paragraph" w:styleId="Titlu4">
    <w:name w:val="heading 4"/>
    <w:basedOn w:val="Normal"/>
    <w:link w:val="Titlu4Caracter"/>
    <w:uiPriority w:val="9"/>
    <w:qFormat/>
    <w:rsid w:val="00BC53EA"/>
    <w:pPr>
      <w:suppressAutoHyphens w:val="0"/>
      <w:spacing w:before="100" w:beforeAutospacing="1" w:after="100" w:afterAutospacing="1"/>
      <w:outlineLvl w:val="3"/>
    </w:pPr>
    <w:rPr>
      <w:b/>
      <w:bCs/>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4Caracter">
    <w:name w:val="Titlu 4 Caracter"/>
    <w:basedOn w:val="Fontdeparagrafimplicit"/>
    <w:link w:val="Titlu4"/>
    <w:uiPriority w:val="9"/>
    <w:rsid w:val="00BC53EA"/>
    <w:rPr>
      <w:rFonts w:ascii="Times New Roman" w:eastAsia="Times New Roman" w:hAnsi="Times New Roman" w:cs="Times New Roman"/>
      <w:b/>
      <w:bCs/>
      <w:sz w:val="24"/>
      <w:szCs w:val="24"/>
      <w:lang w:val="ro-RO" w:eastAsia="ro-RO"/>
    </w:rPr>
  </w:style>
  <w:style w:type="character" w:customStyle="1" w:styleId="alineat1">
    <w:name w:val="alineat1"/>
    <w:rsid w:val="00BC53EA"/>
    <w:rPr>
      <w:b/>
      <w:bCs/>
      <w:color w:val="000000"/>
    </w:rPr>
  </w:style>
  <w:style w:type="paragraph" w:styleId="NormalWeb">
    <w:name w:val="Normal (Web)"/>
    <w:aliases w:val="Normal (Web) Char,Normal (Web) Char1 Char,Normal (Web) Char Char Char,Normal (Web) Char1 Char Char Char,Normal (Web) Char Char1 Char Char Char Char Char,Normal (Web) Char Char Char Char Char Char Char Char Char Char,Normale (Web)"/>
    <w:basedOn w:val="Normal"/>
    <w:uiPriority w:val="99"/>
    <w:rsid w:val="00BC53EA"/>
    <w:pPr>
      <w:spacing w:before="280" w:after="119"/>
    </w:pPr>
  </w:style>
  <w:style w:type="paragraph" w:styleId="Subsol">
    <w:name w:val="footer"/>
    <w:basedOn w:val="Normal"/>
    <w:link w:val="SubsolCaracter"/>
    <w:rsid w:val="00BC53EA"/>
    <w:pPr>
      <w:tabs>
        <w:tab w:val="center" w:pos="4320"/>
        <w:tab w:val="right" w:pos="8640"/>
      </w:tabs>
    </w:pPr>
  </w:style>
  <w:style w:type="character" w:customStyle="1" w:styleId="SubsolCaracter">
    <w:name w:val="Subsol Caracter"/>
    <w:basedOn w:val="Fontdeparagrafimplicit"/>
    <w:link w:val="Subsol"/>
    <w:rsid w:val="00BC53EA"/>
    <w:rPr>
      <w:rFonts w:ascii="Times New Roman" w:eastAsia="Times New Roman" w:hAnsi="Times New Roman" w:cs="Times New Roman"/>
      <w:sz w:val="24"/>
      <w:szCs w:val="24"/>
      <w:lang w:val="ro-RO" w:eastAsia="ar-SA"/>
    </w:rPr>
  </w:style>
  <w:style w:type="character" w:styleId="Numrdepagin">
    <w:name w:val="page number"/>
    <w:basedOn w:val="Fontdeparagrafimplicit"/>
    <w:rsid w:val="00BC53EA"/>
  </w:style>
  <w:style w:type="character" w:styleId="Accentuat">
    <w:name w:val="Emphasis"/>
    <w:uiPriority w:val="20"/>
    <w:qFormat/>
    <w:rsid w:val="00BC53EA"/>
    <w:rPr>
      <w:i/>
      <w:iCs/>
    </w:rPr>
  </w:style>
  <w:style w:type="character" w:customStyle="1" w:styleId="articol1">
    <w:name w:val="articol1"/>
    <w:rsid w:val="00BC53EA"/>
    <w:rPr>
      <w:b/>
      <w:bCs/>
      <w:color w:val="009500"/>
    </w:rPr>
  </w:style>
  <w:style w:type="character" w:customStyle="1" w:styleId="rvts17">
    <w:name w:val="rvts17"/>
    <w:uiPriority w:val="99"/>
    <w:rsid w:val="00BC53EA"/>
  </w:style>
  <w:style w:type="paragraph" w:customStyle="1" w:styleId="rvps1">
    <w:name w:val="rvps1"/>
    <w:basedOn w:val="Normal"/>
    <w:rsid w:val="00BC53EA"/>
    <w:pPr>
      <w:suppressAutoHyphens w:val="0"/>
      <w:spacing w:before="100" w:beforeAutospacing="1" w:after="100" w:afterAutospacing="1"/>
    </w:pPr>
    <w:rPr>
      <w:lang w:val="en-US" w:eastAsia="en-US"/>
    </w:rPr>
  </w:style>
  <w:style w:type="paragraph" w:customStyle="1" w:styleId="msonormal0">
    <w:name w:val="msonormal"/>
    <w:basedOn w:val="Normal"/>
    <w:rsid w:val="00BC53EA"/>
    <w:pPr>
      <w:suppressAutoHyphens w:val="0"/>
      <w:spacing w:before="100" w:beforeAutospacing="1" w:after="100" w:afterAutospacing="1"/>
    </w:pPr>
    <w:rPr>
      <w:lang w:val="en-US" w:eastAsia="en-US"/>
    </w:rPr>
  </w:style>
  <w:style w:type="character" w:styleId="Hyperlink">
    <w:name w:val="Hyperlink"/>
    <w:rsid w:val="00BC53EA"/>
    <w:rPr>
      <w:color w:val="0066CC"/>
      <w:u w:val="single"/>
    </w:rPr>
  </w:style>
  <w:style w:type="character" w:styleId="Referincomentariu">
    <w:name w:val="annotation reference"/>
    <w:uiPriority w:val="99"/>
    <w:unhideWhenUsed/>
    <w:rsid w:val="00BC53EA"/>
    <w:rPr>
      <w:sz w:val="16"/>
      <w:szCs w:val="16"/>
    </w:rPr>
  </w:style>
  <w:style w:type="paragraph" w:styleId="Textcomentariu">
    <w:name w:val="annotation text"/>
    <w:basedOn w:val="Normal"/>
    <w:link w:val="TextcomentariuCaracter"/>
    <w:uiPriority w:val="99"/>
    <w:unhideWhenUsed/>
    <w:rsid w:val="00BC53EA"/>
    <w:pPr>
      <w:suppressAutoHyphens w:val="0"/>
      <w:spacing w:after="160"/>
    </w:pPr>
    <w:rPr>
      <w:rFonts w:ascii="Calibri" w:eastAsia="Calibri" w:hAnsi="Calibri"/>
      <w:sz w:val="20"/>
      <w:szCs w:val="20"/>
      <w:lang w:eastAsia="en-US"/>
    </w:rPr>
  </w:style>
  <w:style w:type="character" w:customStyle="1" w:styleId="TextcomentariuCaracter">
    <w:name w:val="Text comentariu Caracter"/>
    <w:basedOn w:val="Fontdeparagrafimplicit"/>
    <w:link w:val="Textcomentariu"/>
    <w:uiPriority w:val="99"/>
    <w:rsid w:val="00BC53EA"/>
    <w:rPr>
      <w:rFonts w:ascii="Calibri" w:eastAsia="Calibri" w:hAnsi="Calibri" w:cs="Times New Roman"/>
      <w:sz w:val="20"/>
      <w:szCs w:val="20"/>
      <w:lang w:val="ro-RO"/>
    </w:rPr>
  </w:style>
  <w:style w:type="paragraph" w:styleId="TextnBalon">
    <w:name w:val="Balloon Text"/>
    <w:basedOn w:val="Normal"/>
    <w:link w:val="TextnBalonCaracter"/>
    <w:uiPriority w:val="99"/>
    <w:rsid w:val="00BC53EA"/>
    <w:rPr>
      <w:rFonts w:ascii="Segoe UI" w:hAnsi="Segoe UI"/>
      <w:sz w:val="18"/>
      <w:szCs w:val="18"/>
    </w:rPr>
  </w:style>
  <w:style w:type="character" w:customStyle="1" w:styleId="TextnBalonCaracter">
    <w:name w:val="Text în Balon Caracter"/>
    <w:basedOn w:val="Fontdeparagrafimplicit"/>
    <w:link w:val="TextnBalon"/>
    <w:uiPriority w:val="99"/>
    <w:rsid w:val="00BC53EA"/>
    <w:rPr>
      <w:rFonts w:ascii="Segoe UI" w:eastAsia="Times New Roman" w:hAnsi="Segoe UI" w:cs="Times New Roman"/>
      <w:sz w:val="18"/>
      <w:szCs w:val="18"/>
      <w:lang w:val="ro-RO" w:eastAsia="ar-SA"/>
    </w:rPr>
  </w:style>
  <w:style w:type="paragraph" w:styleId="SubiectComentariu">
    <w:name w:val="annotation subject"/>
    <w:basedOn w:val="Textcomentariu"/>
    <w:next w:val="Textcomentariu"/>
    <w:link w:val="SubiectComentariuCaracter"/>
    <w:rsid w:val="00BC53EA"/>
    <w:pPr>
      <w:suppressAutoHyphens/>
      <w:spacing w:after="0"/>
    </w:pPr>
    <w:rPr>
      <w:b/>
      <w:bCs/>
      <w:lang w:eastAsia="ar-SA"/>
    </w:rPr>
  </w:style>
  <w:style w:type="character" w:customStyle="1" w:styleId="SubiectComentariuCaracter">
    <w:name w:val="Subiect Comentariu Caracter"/>
    <w:basedOn w:val="TextcomentariuCaracter"/>
    <w:link w:val="SubiectComentariu"/>
    <w:rsid w:val="00BC53EA"/>
    <w:rPr>
      <w:rFonts w:ascii="Calibri" w:eastAsia="Calibri" w:hAnsi="Calibri" w:cs="Times New Roman"/>
      <w:b/>
      <w:bCs/>
      <w:sz w:val="20"/>
      <w:szCs w:val="20"/>
      <w:lang w:val="ro-RO" w:eastAsia="ar-SA"/>
    </w:rPr>
  </w:style>
  <w:style w:type="character" w:customStyle="1" w:styleId="rvts10">
    <w:name w:val="rvts10"/>
    <w:rsid w:val="00BC53EA"/>
  </w:style>
  <w:style w:type="character" w:customStyle="1" w:styleId="rvts6">
    <w:name w:val="rvts6"/>
    <w:rsid w:val="00BC53EA"/>
  </w:style>
  <w:style w:type="character" w:customStyle="1" w:styleId="rvts12">
    <w:name w:val="rvts12"/>
    <w:rsid w:val="00BC53EA"/>
    <w:rPr>
      <w:rFonts w:ascii="Times New Roman" w:hAnsi="Times New Roman" w:cs="Times New Roman" w:hint="default"/>
      <w:sz w:val="24"/>
      <w:szCs w:val="24"/>
    </w:rPr>
  </w:style>
  <w:style w:type="character" w:customStyle="1" w:styleId="rvts11">
    <w:name w:val="rvts11"/>
    <w:rsid w:val="00BC53EA"/>
  </w:style>
  <w:style w:type="paragraph" w:customStyle="1" w:styleId="al">
    <w:name w:val="a_l"/>
    <w:basedOn w:val="Normal"/>
    <w:rsid w:val="00BC53EA"/>
    <w:pPr>
      <w:suppressAutoHyphens w:val="0"/>
      <w:spacing w:before="100" w:beforeAutospacing="1" w:after="100" w:afterAutospacing="1"/>
    </w:pPr>
    <w:rPr>
      <w:lang w:eastAsia="ro-RO"/>
    </w:rPr>
  </w:style>
  <w:style w:type="paragraph" w:styleId="Listparagraf">
    <w:name w:val="List Paragraph"/>
    <w:basedOn w:val="Normal"/>
    <w:uiPriority w:val="34"/>
    <w:qFormat/>
    <w:rsid w:val="00BC53EA"/>
    <w:pPr>
      <w:suppressAutoHyphens w:val="0"/>
      <w:spacing w:after="160" w:line="259" w:lineRule="auto"/>
      <w:ind w:left="720"/>
      <w:contextualSpacing/>
    </w:pPr>
    <w:rPr>
      <w:rFonts w:ascii="Calibri" w:eastAsia="Calibri" w:hAnsi="Calibri"/>
      <w:sz w:val="22"/>
      <w:szCs w:val="22"/>
      <w:lang w:eastAsia="en-US"/>
    </w:rPr>
  </w:style>
  <w:style w:type="paragraph" w:customStyle="1" w:styleId="norm">
    <w:name w:val="norm"/>
    <w:basedOn w:val="Normal"/>
    <w:rsid w:val="00BC53EA"/>
    <w:pPr>
      <w:suppressAutoHyphens w:val="0"/>
      <w:spacing w:before="100" w:beforeAutospacing="1" w:after="100" w:afterAutospacing="1"/>
    </w:pPr>
    <w:rPr>
      <w:lang w:eastAsia="ro-RO"/>
    </w:rPr>
  </w:style>
  <w:style w:type="paragraph" w:customStyle="1" w:styleId="List1">
    <w:name w:val="List1"/>
    <w:basedOn w:val="Normal"/>
    <w:rsid w:val="00BC53EA"/>
    <w:pPr>
      <w:suppressAutoHyphens w:val="0"/>
      <w:spacing w:before="100" w:beforeAutospacing="1" w:after="100" w:afterAutospacing="1"/>
    </w:pPr>
    <w:rPr>
      <w:lang w:eastAsia="ro-RO"/>
    </w:rPr>
  </w:style>
  <w:style w:type="character" w:customStyle="1" w:styleId="superscript">
    <w:name w:val="superscript"/>
    <w:rsid w:val="00BC53EA"/>
  </w:style>
  <w:style w:type="paragraph" w:customStyle="1" w:styleId="CaracterCaracter">
    <w:name w:val="Caracter Caracter"/>
    <w:basedOn w:val="Normal"/>
    <w:rsid w:val="00BC53EA"/>
    <w:pPr>
      <w:suppressAutoHyphens w:val="0"/>
    </w:pPr>
    <w:rPr>
      <w:lang w:val="pl-PL" w:eastAsia="pl-PL"/>
    </w:rPr>
  </w:style>
  <w:style w:type="character" w:customStyle="1" w:styleId="slgi">
    <w:name w:val="s_lgi"/>
    <w:rsid w:val="00BC53EA"/>
  </w:style>
  <w:style w:type="paragraph" w:styleId="Antet">
    <w:name w:val="header"/>
    <w:basedOn w:val="Normal"/>
    <w:link w:val="AntetCaracter"/>
    <w:rsid w:val="00BC53EA"/>
    <w:pPr>
      <w:tabs>
        <w:tab w:val="center" w:pos="4680"/>
        <w:tab w:val="right" w:pos="9360"/>
      </w:tabs>
    </w:pPr>
  </w:style>
  <w:style w:type="character" w:customStyle="1" w:styleId="AntetCaracter">
    <w:name w:val="Antet Caracter"/>
    <w:basedOn w:val="Fontdeparagrafimplicit"/>
    <w:link w:val="Antet"/>
    <w:rsid w:val="00BC53EA"/>
    <w:rPr>
      <w:rFonts w:ascii="Times New Roman" w:eastAsia="Times New Roman" w:hAnsi="Times New Roman" w:cs="Times New Roman"/>
      <w:sz w:val="24"/>
      <w:szCs w:val="24"/>
      <w:lang w:val="ro-RO" w:eastAsia="ar-SA"/>
    </w:rPr>
  </w:style>
  <w:style w:type="paragraph" w:customStyle="1" w:styleId="List2">
    <w:name w:val="List2"/>
    <w:basedOn w:val="Normal"/>
    <w:rsid w:val="00BC53EA"/>
    <w:pPr>
      <w:suppressAutoHyphens w:val="0"/>
      <w:spacing w:before="100" w:beforeAutospacing="1" w:after="100" w:afterAutospacing="1"/>
    </w:pPr>
    <w:rPr>
      <w:lang w:eastAsia="ro-RO"/>
    </w:rPr>
  </w:style>
  <w:style w:type="paragraph" w:customStyle="1" w:styleId="CaracterCaracter1">
    <w:name w:val="Caracter Caracter1"/>
    <w:basedOn w:val="Normal"/>
    <w:rsid w:val="00BC53EA"/>
    <w:pPr>
      <w:suppressAutoHyphens w:val="0"/>
    </w:pPr>
    <w:rPr>
      <w:lang w:val="pl-PL" w:eastAsia="pl-PL"/>
    </w:rPr>
  </w:style>
  <w:style w:type="paragraph" w:styleId="Textsimplu">
    <w:name w:val="Plain Text"/>
    <w:basedOn w:val="Normal"/>
    <w:link w:val="TextsimpluCaracter"/>
    <w:uiPriority w:val="99"/>
    <w:semiHidden/>
    <w:unhideWhenUsed/>
    <w:rsid w:val="00BC53EA"/>
    <w:pPr>
      <w:suppressAutoHyphens w:val="0"/>
    </w:pPr>
    <w:rPr>
      <w:rFonts w:ascii="Calibri" w:eastAsiaTheme="minorHAnsi" w:hAnsi="Calibri" w:cstheme="minorBidi"/>
      <w:sz w:val="22"/>
      <w:szCs w:val="21"/>
      <w:lang w:val="en-US" w:eastAsia="en-US"/>
    </w:rPr>
  </w:style>
  <w:style w:type="character" w:customStyle="1" w:styleId="TextsimpluCaracter">
    <w:name w:val="Text simplu Caracter"/>
    <w:basedOn w:val="Fontdeparagrafimplicit"/>
    <w:link w:val="Textsimplu"/>
    <w:uiPriority w:val="99"/>
    <w:semiHidden/>
    <w:rsid w:val="00BC53EA"/>
    <w:rPr>
      <w:rFonts w:ascii="Calibri" w:hAnsi="Calibri"/>
      <w:szCs w:val="21"/>
    </w:rPr>
  </w:style>
  <w:style w:type="paragraph" w:customStyle="1" w:styleId="Default">
    <w:name w:val="Default"/>
    <w:rsid w:val="00BC53E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rptext">
    <w:name w:val="Body Text"/>
    <w:basedOn w:val="Normal"/>
    <w:link w:val="CorptextCaracter"/>
    <w:rsid w:val="00556327"/>
    <w:pPr>
      <w:suppressAutoHyphens w:val="0"/>
      <w:jc w:val="center"/>
    </w:pPr>
    <w:rPr>
      <w:rFonts w:ascii="Bookman Old Style" w:hAnsi="Bookman Old Style"/>
      <w:b/>
      <w:sz w:val="40"/>
      <w:szCs w:val="20"/>
      <w:lang w:val="x-none" w:eastAsia="x-none"/>
    </w:rPr>
  </w:style>
  <w:style w:type="character" w:customStyle="1" w:styleId="CorptextCaracter">
    <w:name w:val="Corp text Caracter"/>
    <w:basedOn w:val="Fontdeparagrafimplicit"/>
    <w:link w:val="Corptext"/>
    <w:rsid w:val="00556327"/>
    <w:rPr>
      <w:rFonts w:ascii="Bookman Old Style" w:eastAsia="Times New Roman" w:hAnsi="Bookman Old Style" w:cs="Times New Roman"/>
      <w:b/>
      <w:sz w:val="4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1189</Words>
  <Characters>6782</Characters>
  <Application>Microsoft Office Word</Application>
  <DocSecurity>0</DocSecurity>
  <Lines>56</Lines>
  <Paragraphs>15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Dimache</dc:creator>
  <cp:keywords/>
  <dc:description/>
  <cp:lastModifiedBy>Emilia Dimache</cp:lastModifiedBy>
  <cp:revision>8</cp:revision>
  <cp:lastPrinted>2020-11-09T06:15:00Z</cp:lastPrinted>
  <dcterms:created xsi:type="dcterms:W3CDTF">2020-11-06T09:37:00Z</dcterms:created>
  <dcterms:modified xsi:type="dcterms:W3CDTF">2020-11-09T11:56:00Z</dcterms:modified>
</cp:coreProperties>
</file>